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</w:pPr>
      <w:r>
        <w:rPr>
          <w:color w:val="800000"/>
        </w:rPr>
        <w:t xml:space="preserve">     </w:t>
      </w:r>
      <w:r>
        <w:rPr>
          <w:color w:val="80000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94410" cy="879425"/>
                <wp:effectExtent l="6350" t="6350" r="6350" b="6350"/>
                <wp:docPr id="1" name="Рисунок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35541482" name="Рисунок 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4"/>
                        <a:stretch/>
                      </pic:blipFill>
                      <pic:spPr bwMode="auto">
                        <a:xfrm>
                          <a:off x="0" y="0"/>
                          <a:ext cx="994410" cy="8794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78.30pt;height:69.25pt;mso-wrap-distance-left:0.00pt;mso-wrap-distance-top:0.00pt;mso-wrap-distance-right:0.00pt;mso-wrap-distance-bottom:0.00pt;" stroked="f">
                <v:path textboxrect="0,0,0,0"/>
                <v:imagedata r:id="rId14" o:title=""/>
              </v:shape>
            </w:pict>
          </mc:Fallback>
        </mc:AlternateContent>
      </w:r>
      <w:r/>
    </w:p>
    <w:p>
      <w:r/>
      <w:r/>
    </w:p>
    <w:p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-4313</wp:posOffset>
                </wp:positionH>
                <wp:positionV relativeFrom="paragraph">
                  <wp:posOffset>10358</wp:posOffset>
                </wp:positionV>
                <wp:extent cx="5835223" cy="593766"/>
                <wp:effectExtent l="6350" t="6350" r="6350" b="635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/>
                      </wps:cNvSpPr>
                      <wps:spPr bwMode="auto">
                        <a:xfrm flipH="0" flipV="0">
                          <a:off x="0" y="0"/>
                          <a:ext cx="5835221" cy="59376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="0" w:right="-11" w:firstLine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ДЕПАРТАМЕНТ ОБРА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ЗОВАНИЯ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НАУКИ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</w:r>
                          </w:p>
                          <w:p>
                            <w:pPr>
                              <w:ind w:left="142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ХАНТЫ-МАНСИЙСКОГО АВТОНОМНОГО ОКРУГА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–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ЮГРЫ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" o:spid="_x0000_s1" o:spt="202" type="#_x0000_t202" style="position:absolute;z-index:251657216;o:allowoverlap:true;o:allowincell:true;mso-position-horizontal-relative:text;margin-left:-0.34pt;mso-position-horizontal:absolute;mso-position-vertical-relative:text;margin-top:0.82pt;mso-position-vertical:absolute;width:459.47pt;height:46.75pt;mso-wrap-distance-left:9.00pt;mso-wrap-distance-top:0.00pt;mso-wrap-distance-right:9.00pt;mso-wrap-distance-bottom:0.00pt;v-text-anchor:top;visibility:visible;" fillcolor="#FFFFFF" stroked="f">
                <v:textbox inset="0,0,0,0">
                  <w:txbxContent>
                    <w:p>
                      <w:pPr>
                        <w:ind w:left="0" w:right="-11" w:firstLine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ДЕПАРТАМЕНТ ОБРА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ЗОВАНИЯ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И НАУКИ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  <w:szCs w:val="28"/>
                        </w:rPr>
                      </w:r>
                      <w:r>
                        <w:rPr>
                          <w:b/>
                          <w:sz w:val="28"/>
                          <w:szCs w:val="28"/>
                        </w:rPr>
                      </w:r>
                    </w:p>
                    <w:p>
                      <w:pPr>
                        <w:ind w:left="142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ХАНТЫ-МАНСИЙСКОГО АВТОНОМНОГО ОКРУГА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–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ЮГРЫ</w:t>
                      </w:r>
                      <w:r>
                        <w:rPr>
                          <w:b/>
                          <w:sz w:val="24"/>
                          <w:szCs w:val="24"/>
                        </w:rPr>
                      </w:r>
                      <w:r>
                        <w:rPr>
                          <w:b/>
                          <w:sz w:val="24"/>
                          <w:szCs w:val="24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/>
    </w:p>
    <w:p>
      <w:r/>
      <w:r/>
    </w:p>
    <w:p>
      <w:r/>
      <w:r/>
    </w:p>
    <w:p>
      <w:r/>
      <w:r/>
    </w:p>
    <w:p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-37465</wp:posOffset>
                </wp:positionH>
                <wp:positionV relativeFrom="paragraph">
                  <wp:posOffset>24129</wp:posOffset>
                </wp:positionV>
                <wp:extent cx="5819775" cy="1576278"/>
                <wp:effectExtent l="6350" t="6350" r="6350" b="6350"/>
                <wp:wrapNone/>
                <wp:docPr id="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/>
                      </wps:cNvSpPr>
                      <wps:spPr bwMode="auto">
                        <a:xfrm flipH="0" flipV="0">
                          <a:off x="0" y="0"/>
                          <a:ext cx="5819774" cy="15762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ПРИКАЗ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</w:r>
                          </w:p>
                          <w:p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</w:r>
                          </w:p>
                          <w:p>
                            <w:pPr>
                              <w:jc w:val="center"/>
                              <w:spacing w:line="240" w:lineRule="auto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О регистрации заявлений на прохождение государственной итоговой аттестации по образовательным программам среднего общего образования, сдачу единого государственного экзамена на территории Ханты-Мансийского автономного округа – Югры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в 2026 году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" o:spid="_x0000_s2" o:spt="202" type="#_x0000_t202" style="position:absolute;z-index:251658240;o:allowoverlap:true;o:allowincell:true;mso-position-horizontal-relative:margin;margin-left:-2.95pt;mso-position-horizontal:absolute;mso-position-vertical-relative:text;margin-top:1.90pt;mso-position-vertical:absolute;width:458.25pt;height:124.12pt;mso-wrap-distance-left:9.00pt;mso-wrap-distance-top:0.00pt;mso-wrap-distance-right:9.00pt;mso-wrap-distance-bottom:0.00pt;v-text-anchor:top;visibility:visible;" fillcolor="#FFFFFF" stroked="f">
                <v:textbox inset="0,0,0,0">
                  <w:txbxContent>
                    <w:p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ПРИКАЗ</w:t>
                      </w:r>
                      <w:r>
                        <w:rPr>
                          <w:b/>
                          <w:sz w:val="28"/>
                          <w:szCs w:val="28"/>
                        </w:rPr>
                      </w:r>
                      <w:r>
                        <w:rPr>
                          <w:b/>
                          <w:sz w:val="28"/>
                          <w:szCs w:val="28"/>
                        </w:rPr>
                      </w:r>
                    </w:p>
                    <w:p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</w:r>
                      <w:r>
                        <w:rPr>
                          <w:b/>
                          <w:sz w:val="28"/>
                          <w:szCs w:val="28"/>
                        </w:rPr>
                      </w:r>
                      <w:r>
                        <w:rPr>
                          <w:b/>
                          <w:sz w:val="28"/>
                          <w:szCs w:val="28"/>
                        </w:rPr>
                      </w:r>
                    </w:p>
                    <w:p>
                      <w:pPr>
                        <w:jc w:val="center"/>
                        <w:spacing w:line="240" w:lineRule="auto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  <w:t xml:space="preserve">О регистрации заявлений на прохождение государственной итоговой аттестации по образовательным программам среднего общего образования, сдачу единого государственного экзамена на территории Ханты-Мансийского автономного округа – Югры  </w:t>
                      </w:r>
                      <w:r>
                        <w:rPr>
                          <w:sz w:val="28"/>
                          <w:szCs w:val="28"/>
                        </w:rPr>
                        <w:t xml:space="preserve">в 2026 году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color w:val="d9d9d9" w:themeColor="background1" w:themeShade="D9"/>
          <w:sz w:val="24"/>
          <w:szCs w:val="24"/>
        </w:rPr>
      </w:pPr>
      <w:r>
        <w:rPr>
          <w:color w:val="d9d9d9" w:themeColor="background1" w:themeShade="D9"/>
          <w:sz w:val="24"/>
          <w:szCs w:val="24"/>
        </w:rPr>
      </w:r>
      <w:r>
        <w:rPr>
          <w:color w:val="d9d9d9" w:themeColor="background1" w:themeShade="D9"/>
          <w:sz w:val="24"/>
          <w:szCs w:val="24"/>
        </w:rPr>
      </w:r>
      <w:r>
        <w:rPr>
          <w:color w:val="d9d9d9" w:themeColor="background1" w:themeShade="D9"/>
          <w:sz w:val="24"/>
          <w:szCs w:val="24"/>
        </w:rPr>
      </w:r>
    </w:p>
    <w:p>
      <w:pPr>
        <w:jc w:val="both"/>
        <w:rPr>
          <w:color w:val="d9d9d9" w:themeColor="background1" w:themeShade="D9"/>
          <w:sz w:val="24"/>
          <w:szCs w:val="24"/>
        </w:rPr>
      </w:pPr>
      <w:r>
        <w:rPr>
          <w:color w:val="d9d9d9" w:themeColor="background1" w:themeShade="D9"/>
          <w:sz w:val="24"/>
          <w:szCs w:val="24"/>
        </w:rPr>
      </w:r>
      <w:r>
        <w:rPr>
          <w:color w:val="d9d9d9" w:themeColor="background1" w:themeShade="D9"/>
          <w:sz w:val="24"/>
          <w:szCs w:val="24"/>
        </w:rPr>
      </w:r>
      <w:r>
        <w:rPr>
          <w:color w:val="d9d9d9" w:themeColor="background1" w:themeShade="D9"/>
          <w:sz w:val="24"/>
          <w:szCs w:val="24"/>
        </w:rPr>
      </w:r>
    </w:p>
    <w:p>
      <w:pPr>
        <w:jc w:val="both"/>
        <w:rPr>
          <w:color w:val="d9d9d9" w:themeColor="background1" w:themeShade="D9"/>
          <w:sz w:val="24"/>
          <w:szCs w:val="24"/>
        </w:rPr>
      </w:pPr>
      <w:r>
        <w:rPr>
          <w:color w:val="d9d9d9" w:themeColor="background1" w:themeShade="D9"/>
          <w:sz w:val="24"/>
          <w:szCs w:val="24"/>
        </w:rPr>
        <w:t xml:space="preserve">[Дата </w:t>
      </w:r>
      <w:r>
        <w:rPr>
          <w:color w:val="d9d9d9" w:themeColor="background1" w:themeShade="D9"/>
          <w:sz w:val="24"/>
          <w:szCs w:val="24"/>
        </w:rPr>
        <w:t xml:space="preserve">документа]   </w:t>
      </w:r>
      <w:r>
        <w:rPr>
          <w:color w:val="d9d9d9" w:themeColor="background1" w:themeShade="D9"/>
          <w:sz w:val="24"/>
          <w:szCs w:val="24"/>
        </w:rPr>
        <w:t xml:space="preserve">                                                                           </w:t>
      </w:r>
      <w:r>
        <w:rPr>
          <w:color w:val="d9d9d9" w:themeColor="background1" w:themeShade="D9"/>
          <w:sz w:val="24"/>
          <w:szCs w:val="24"/>
        </w:rPr>
        <w:t xml:space="preserve">№  [</w:t>
      </w:r>
      <w:r>
        <w:rPr>
          <w:color w:val="d9d9d9" w:themeColor="background1" w:themeShade="D9"/>
          <w:sz w:val="24"/>
          <w:szCs w:val="24"/>
        </w:rPr>
        <w:t xml:space="preserve">Номер документа] </w:t>
      </w:r>
      <w:r>
        <w:rPr>
          <w:color w:val="d9d9d9" w:themeColor="background1" w:themeShade="D9"/>
          <w:sz w:val="24"/>
          <w:szCs w:val="24"/>
        </w:rPr>
      </w:r>
      <w:r>
        <w:rPr>
          <w:color w:val="d9d9d9" w:themeColor="background1" w:themeShade="D9"/>
          <w:sz w:val="24"/>
          <w:szCs w:val="24"/>
        </w:rPr>
      </w:r>
    </w:p>
    <w:p>
      <w:pPr>
        <w:jc w:val="both"/>
        <w:rPr>
          <w:color w:val="d9d9d9" w:themeColor="background1" w:themeShade="D9"/>
          <w:sz w:val="24"/>
          <w:szCs w:val="24"/>
        </w:rPr>
      </w:pPr>
      <w:r>
        <w:rPr>
          <w:color w:val="d9d9d9" w:themeColor="background1" w:themeShade="D9"/>
          <w:sz w:val="24"/>
          <w:szCs w:val="24"/>
        </w:rPr>
      </w:r>
      <w:r>
        <w:rPr>
          <w:color w:val="d9d9d9" w:themeColor="background1" w:themeShade="D9"/>
          <w:sz w:val="24"/>
          <w:szCs w:val="24"/>
        </w:rPr>
      </w:r>
      <w:r>
        <w:rPr>
          <w:color w:val="d9d9d9" w:themeColor="background1" w:themeShade="D9"/>
          <w:sz w:val="24"/>
          <w:szCs w:val="24"/>
        </w:rPr>
      </w:r>
    </w:p>
    <w:p>
      <w:pPr>
        <w:ind w:right="350"/>
        <w:jc w:val="both"/>
        <w:tabs>
          <w:tab w:val="left" w:pos="9498" w:leader="none"/>
        </w:tabs>
        <w:rPr>
          <w:sz w:val="28"/>
          <w:szCs w:val="28"/>
        </w:rPr>
      </w:pPr>
      <w:r>
        <w:rPr>
          <w:sz w:val="24"/>
          <w:szCs w:val="24"/>
        </w:rPr>
        <w:t xml:space="preserve">Ханты-Мансийск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350"/>
        <w:jc w:val="both"/>
        <w:tabs>
          <w:tab w:val="left" w:pos="9498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spacing w:line="276" w:lineRule="auto"/>
      </w:pPr>
      <w:r/>
      <w:r/>
    </w:p>
    <w:p>
      <w:pPr>
        <w:ind w:firstLine="709"/>
        <w:jc w:val="both"/>
        <w:rPr>
          <w:highlight w:val="none"/>
        </w:rPr>
      </w:pPr>
      <w:r>
        <w:rPr>
          <w:spacing w:val="-5"/>
          <w:sz w:val="28"/>
          <w:szCs w:val="28"/>
        </w:rPr>
      </w:r>
      <w:r>
        <w:rPr>
          <w:spacing w:val="-5"/>
          <w:sz w:val="28"/>
          <w:szCs w:val="28"/>
        </w:rPr>
        <w:t xml:space="preserve">В соответствии со статьей 59 Федерального закона Российской Федерации от 29.12.2012 № 273-ФЗ «Об образовани</w:t>
      </w:r>
      <w:r>
        <w:rPr>
          <w:spacing w:val="-5"/>
          <w:sz w:val="28"/>
          <w:szCs w:val="28"/>
        </w:rPr>
        <w:t xml:space="preserve">и в Российской Федерации», Порядком проведения государственной итоговой аттестации </w:t>
      </w:r>
      <w:r>
        <w:rPr>
          <w:spacing w:val="-5"/>
          <w:sz w:val="28"/>
          <w:szCs w:val="28"/>
        </w:rPr>
        <w:br/>
        <w:t xml:space="preserve">по образовательным программам среднего общего образования, утвержденным приказом Министерства просвещения</w:t>
      </w:r>
      <w:bookmarkStart w:id="0" w:name="undefined"/>
      <w:r/>
      <w:bookmarkEnd w:id="0"/>
      <w:r>
        <w:rPr>
          <w:spacing w:val="-5"/>
          <w:sz w:val="28"/>
          <w:szCs w:val="28"/>
        </w:rPr>
        <w:t xml:space="preserve"> Российской Федерации и Федеральной службы по надзору в сфере образ</w:t>
      </w:r>
      <w:r>
        <w:rPr>
          <w:spacing w:val="-5"/>
          <w:sz w:val="28"/>
          <w:szCs w:val="28"/>
        </w:rPr>
        <w:t xml:space="preserve">ования и науки от 04.04.2023 № 233/552, постановлением Правительства Российской Федерации </w:t>
      </w:r>
      <w:r>
        <w:rPr>
          <w:spacing w:val="-5"/>
          <w:sz w:val="28"/>
          <w:szCs w:val="28"/>
        </w:rPr>
        <w:t xml:space="preserve">от 29.11.</w:t>
      </w:r>
      <w:r>
        <w:rPr>
          <w:spacing w:val="-5"/>
          <w:sz w:val="28"/>
          <w:szCs w:val="28"/>
        </w:rPr>
        <w:t xml:space="preserve">2021 № 2085 «О федеральной информационной системе обеспечения проведения государственной итоговой аттестации обучающихся, освоивших основны</w:t>
      </w:r>
      <w:r>
        <w:rPr>
          <w:spacing w:val="-5"/>
          <w:sz w:val="28"/>
          <w:szCs w:val="28"/>
        </w:rPr>
        <w:t xml:space="preserve">е образовательные программы основного общего </w:t>
      </w:r>
      <w:r>
        <w:rPr>
          <w:spacing w:val="-5"/>
          <w:sz w:val="28"/>
          <w:szCs w:val="28"/>
        </w:rPr>
        <w:t xml:space="preserve">и среднего общего образования, и приема граждан </w:t>
        <w:br/>
        <w:t xml:space="preserve">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</w:t>
      </w:r>
      <w:r>
        <w:rPr>
          <w:spacing w:val="-5"/>
          <w:sz w:val="28"/>
          <w:szCs w:val="28"/>
        </w:rPr>
        <w:t xml:space="preserve">ственной итоговой аттестации обучающихся, освоивших основные образовательные программы основного общего и среднего общего образования», </w:t>
        <w:br/>
        <w:t xml:space="preserve">на основании решения</w:t>
      </w:r>
      <w:r>
        <w:rPr>
          <w:spacing w:val="-5"/>
          <w:sz w:val="28"/>
          <w:szCs w:val="28"/>
        </w:rPr>
        <w:t xml:space="preserve"> председателя Государственной экзаменационной комиссии Ханты-Мансийского автономного округа – Югры (</w:t>
      </w:r>
      <w:r>
        <w:rPr>
          <w:spacing w:val="-5"/>
          <w:sz w:val="28"/>
          <w:szCs w:val="28"/>
        </w:rPr>
        <w:t xml:space="preserve">протокол </w:t>
        <w:br/>
        <w:t xml:space="preserve">от 26.11.2025 № 118-П), в целях организации регистрации заявлений </w:t>
        <w:br/>
        <w:t xml:space="preserve">на прохождение государственной итоговой аттестации </w:t>
      </w:r>
      <w:r>
        <w:rPr>
          <w:spacing w:val="-5"/>
          <w:sz w:val="28"/>
          <w:szCs w:val="28"/>
        </w:rPr>
        <w:t xml:space="preserve">по образовательным программам среднего общего образования, сдачу единого государственного экзамена (далее – ГИА-11, ЕГЭ)</w:t>
      </w:r>
      <w:r>
        <w:rPr>
          <w:spacing w:val="-5"/>
          <w:sz w:val="28"/>
          <w:szCs w:val="28"/>
        </w:rPr>
        <w:t xml:space="preserve"> на территории </w:t>
      </w:r>
      <w:r>
        <w:rPr>
          <w:spacing w:val="-5"/>
          <w:sz w:val="28"/>
          <w:szCs w:val="28"/>
        </w:rPr>
        <w:t xml:space="preserve">Ханты-Мансийского автономного округа – Югры в 2026 году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ПРИКАЗЫВАЮ: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right="350"/>
        <w:jc w:val="both"/>
        <w:spacing w:line="276" w:lineRule="auto"/>
      </w:pPr>
      <w:r/>
      <w:r/>
    </w:p>
    <w:p>
      <w:pPr>
        <w:ind w:firstLine="709"/>
        <w:jc w:val="both"/>
      </w:pPr>
      <w:r>
        <w:rPr>
          <w:sz w:val="28"/>
          <w:szCs w:val="28"/>
        </w:rPr>
        <w:t xml:space="preserve">1. Утвердить:</w:t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1.1. Порядок подачи и регистрации заявлений на прохождение </w:t>
      </w:r>
      <w:r>
        <w:rPr>
          <w:sz w:val="28"/>
          <w:szCs w:val="28"/>
        </w:rPr>
        <w:br/>
        <w:t xml:space="preserve">ГИА-11, сдачу ЕГЭ на территории Ханты-Мансийского автономного округа – Югры в 2026 году (далее –</w:t>
      </w:r>
      <w:r>
        <w:rPr>
          <w:sz w:val="28"/>
          <w:szCs w:val="28"/>
        </w:rPr>
        <w:t xml:space="preserve"> Порядок) (приложение 1).</w:t>
      </w:r>
      <w:r/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Перечень мест регистрации заявлений на прохождение </w:t>
        <w:br/>
        <w:t xml:space="preserve">ГИА-11, сдачу ЕГЭ, с местами их расположения на территории </w:t>
        <w:br/>
        <w:t xml:space="preserve">Ханты-Мансийского автономного округа – Югры в 2026 году </w:t>
        <w:br/>
        <w:t xml:space="preserve">(приложение 2).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</w:pPr>
      <w:r>
        <w:rPr>
          <w:sz w:val="28"/>
          <w:szCs w:val="28"/>
        </w:rPr>
        <w:t xml:space="preserve">2. Рекомендовать </w:t>
      </w:r>
      <w:r>
        <w:rPr>
          <w:color w:val="000000"/>
          <w:spacing w:val="-2"/>
          <w:sz w:val="28"/>
          <w:szCs w:val="28"/>
        </w:rPr>
        <w:t xml:space="preserve">р</w:t>
      </w:r>
      <w:r>
        <w:rPr>
          <w:color w:val="000000"/>
          <w:spacing w:val="-2"/>
          <w:sz w:val="28"/>
          <w:szCs w:val="28"/>
        </w:rPr>
        <w:t xml:space="preserve">уководителям </w:t>
      </w:r>
      <w:r>
        <w:rPr>
          <w:rFonts w:ascii="Times New Roman" w:hAnsi="Times New Roman"/>
          <w:sz w:val="28"/>
          <w:szCs w:val="28"/>
          <w:highlight w:val="none"/>
        </w:rPr>
        <w:t xml:space="preserve">структурных подразделений</w:t>
      </w:r>
      <w:r>
        <w:rPr>
          <w:rFonts w:ascii="Times New Roman" w:hAnsi="Times New Roman"/>
          <w:sz w:val="28"/>
          <w:szCs w:val="28"/>
          <w:highlight w:val="none"/>
        </w:rPr>
        <w:t xml:space="preserve"> исполнительно-распорядительных органов городских округов, муниципальных районов Ханты-Мансийского автономного округа </w:t>
        <w:br/>
        <w:t xml:space="preserve">– Югры, курирующих вопросы образования</w:t>
      </w:r>
      <w:r>
        <w:rPr>
          <w:sz w:val="28"/>
          <w:szCs w:val="28"/>
        </w:rPr>
        <w:t xml:space="preserve">, автономного профессионального образова</w:t>
      </w:r>
      <w:r>
        <w:rPr>
          <w:sz w:val="28"/>
          <w:szCs w:val="28"/>
        </w:rPr>
        <w:t xml:space="preserve">тельного учреждения Ханты-Мансийского автономного округа – Югры «Югорский колледж-интернат олимпийского резерва» (</w:t>
      </w:r>
      <w:r>
        <w:rPr>
          <w:color w:val="000000"/>
          <w:spacing w:val="-2"/>
          <w:sz w:val="28"/>
          <w:szCs w:val="28"/>
        </w:rPr>
        <w:t xml:space="preserve">К.А. Васильев), в части касающейся</w:t>
      </w:r>
      <w:r>
        <w:rPr>
          <w:sz w:val="28"/>
          <w:szCs w:val="28"/>
        </w:rPr>
        <w:t xml:space="preserve">: </w:t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2.1. Довести настоящий приказ до сведения руководителей образовательных организаций, расположенных на территории муниципального образования, педагогов, обучающихся, их родителей (законных представителей).</w:t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2.2. Организовать работу мест регистрации заявлени</w:t>
      </w:r>
      <w:r>
        <w:rPr>
          <w:sz w:val="28"/>
          <w:szCs w:val="28"/>
        </w:rPr>
        <w:t xml:space="preserve">й </w:t>
      </w:r>
      <w:r>
        <w:rPr>
          <w:sz w:val="28"/>
          <w:szCs w:val="28"/>
        </w:rPr>
        <w:br/>
        <w:t xml:space="preserve">на прохождение ГИА-11, сдачу ЕГЭ в досрочный, основной периоды проведения ГИА-11, ЕГЭ в 2026 году в соответствии с Порядком, утвержденным подпунктом 1.1 пункта 1 настоящего приказа.</w:t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2.3. Обеспечить н</w:t>
      </w:r>
      <w:r>
        <w:rPr>
          <w:sz w:val="28"/>
          <w:szCs w:val="28"/>
        </w:rPr>
        <w:t xml:space="preserve">азначение на территории муниципального образования, </w:t>
      </w:r>
      <w:r>
        <w:rPr>
          <w:sz w:val="28"/>
          <w:szCs w:val="28"/>
        </w:rPr>
        <w:t xml:space="preserve">в автономном профессиональном образовательном учреждении </w:t>
      </w:r>
      <w:r>
        <w:rPr>
          <w:sz w:val="28"/>
          <w:szCs w:val="28"/>
        </w:rPr>
        <w:t xml:space="preserve">Ханты-Мансийского автономного округа – Югры «Югорский колледж-</w:t>
      </w:r>
      <w:r>
        <w:rPr>
          <w:sz w:val="28"/>
          <w:szCs w:val="28"/>
        </w:rPr>
        <w:t xml:space="preserve">интернат олимпийского резерва» специалистов, ответственных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координацию организационно-технических процессов, связанных </w:t>
      </w:r>
      <w:r>
        <w:rPr>
          <w:sz w:val="28"/>
          <w:szCs w:val="28"/>
        </w:rPr>
        <w:t xml:space="preserve">с подачей и регистрацией заявлений на участие </w:t>
        <w:br/>
        <w:t xml:space="preserve">в </w:t>
      </w:r>
      <w:r>
        <w:rPr>
          <w:sz w:val="28"/>
          <w:szCs w:val="28"/>
        </w:rPr>
        <w:t xml:space="preserve">прохождении ГИА-11, с использованием </w:t>
      </w:r>
      <w:r>
        <w:rPr>
          <w:sz w:val="28"/>
          <w:szCs w:val="28"/>
        </w:rPr>
        <w:t xml:space="preserve">информационно-коммуникационных технологий </w:t>
      </w: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«Системы сбора заявлений на участие в написании итогового сочинения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(изложения), в прохождении </w:t>
      </w:r>
      <w:r>
        <w:rPr>
          <w:sz w:val="28"/>
          <w:szCs w:val="28"/>
        </w:rPr>
        <w:t xml:space="preserve">ГИА-11» через цифровую образовательную </w:t>
      </w:r>
      <w:r>
        <w:rPr>
          <w:sz w:val="28"/>
          <w:szCs w:val="28"/>
        </w:rPr>
        <w:t xml:space="preserve">платформу Ханты-Мансийского автономного округа – Югры (далее </w:t>
      </w:r>
      <w:r>
        <w:rPr>
          <w:sz w:val="28"/>
          <w:szCs w:val="28"/>
        </w:rPr>
        <w:t xml:space="preserve">– ЦОП «Образование Югры») </w:t>
        <w:br/>
        <w:t xml:space="preserve">в 2026 году.</w:t>
      </w:r>
      <w:r>
        <w:rPr>
          <w:sz w:val="28"/>
          <w:szCs w:val="28"/>
        </w:rPr>
      </w:r>
      <w:r/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2.4. Обеспечить прием и своевременную регистрацию заявлений </w:t>
      </w:r>
      <w:r>
        <w:rPr>
          <w:sz w:val="28"/>
          <w:szCs w:val="28"/>
        </w:rPr>
        <w:br/>
        <w:t xml:space="preserve">на прохождение ГИА-11, с</w:t>
      </w:r>
      <w:r>
        <w:rPr>
          <w:sz w:val="28"/>
          <w:szCs w:val="28"/>
        </w:rPr>
        <w:t xml:space="preserve">дачу ЕГЭ в 2026 году, в том числе </w:t>
      </w:r>
      <w:r>
        <w:rPr>
          <w:sz w:val="28"/>
          <w:szCs w:val="28"/>
        </w:rPr>
        <w:br/>
        <w:t xml:space="preserve">в дистанционном формате, а также с использованием </w:t>
      </w:r>
      <w:r>
        <w:rPr>
          <w:sz w:val="28"/>
          <w:szCs w:val="28"/>
          <w:highlight w:val="none"/>
        </w:rPr>
        <w:t xml:space="preserve">ЦОП</w:t>
      </w:r>
      <w:r>
        <w:rPr>
          <w:highlight w:val="none"/>
        </w:rPr>
        <w:t xml:space="preserve"> </w:t>
      </w:r>
      <w:r>
        <w:rPr>
          <w:sz w:val="28"/>
          <w:szCs w:val="28"/>
          <w:highlight w:val="none"/>
        </w:rPr>
        <w:t xml:space="preserve">«Образование Югры»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</w:pPr>
      <w:r>
        <w:rPr>
          <w:sz w:val="28"/>
          <w:szCs w:val="28"/>
        </w:rPr>
        <w:t xml:space="preserve">3. Руководителям государственных образовательных организаций, находящихся в ведении Департамента образования и науки </w:t>
      </w:r>
      <w:r>
        <w:rPr>
          <w:sz w:val="28"/>
          <w:szCs w:val="28"/>
        </w:rPr>
        <w:br/>
        <w:t xml:space="preserve">Ханты-Мансийского автономного округа – Югры (далее </w:t>
        <w:br/>
        <w:t xml:space="preserve">– образовательные организации) (Б.Т. </w:t>
      </w:r>
      <w:r>
        <w:rPr>
          <w:sz w:val="28"/>
          <w:szCs w:val="28"/>
        </w:rPr>
        <w:t xml:space="preserve">Мамбетов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Г.К. </w:t>
      </w:r>
      <w:r>
        <w:rPr>
          <w:sz w:val="28"/>
          <w:szCs w:val="28"/>
          <w:highlight w:val="none"/>
        </w:rPr>
        <w:t xml:space="preserve">Хидирлясов</w:t>
      </w:r>
      <w:r>
        <w:rPr>
          <w:sz w:val="28"/>
          <w:szCs w:val="28"/>
        </w:rPr>
        <w:t xml:space="preserve">, </w:t>
        <w:br/>
        <w:t xml:space="preserve">А.</w:t>
      </w:r>
      <w:r>
        <w:rPr>
          <w:sz w:val="28"/>
          <w:szCs w:val="28"/>
        </w:rPr>
        <w:t xml:space="preserve">В. Жуков, С.Ю. Платонова, И.И. </w:t>
      </w:r>
      <w:r>
        <w:rPr>
          <w:sz w:val="28"/>
          <w:szCs w:val="28"/>
          <w:highlight w:val="none"/>
        </w:rPr>
        <w:t xml:space="preserve">Старостина, </w:t>
      </w:r>
      <w:r>
        <w:rPr>
          <w:sz w:val="28"/>
          <w:szCs w:val="28"/>
          <w:highlight w:val="none"/>
        </w:rPr>
        <w:t xml:space="preserve">Н.В. Свайкина, </w:t>
        <w:br/>
        <w:t xml:space="preserve">О.В. Петрова, О.В. Елфимова</w:t>
      </w:r>
      <w:r>
        <w:rPr>
          <w:sz w:val="28"/>
          <w:szCs w:val="28"/>
        </w:rPr>
        <w:t xml:space="preserve">), в части касающейся:</w:t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3.1. Довести настоящий приказ до сведения педагогов, обучающихся, их родителей (законных представителей).</w:t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3.2. Организовать работу мест регистрации заявлений </w:t>
      </w:r>
      <w:r>
        <w:rPr>
          <w:sz w:val="28"/>
          <w:szCs w:val="28"/>
        </w:rPr>
        <w:br/>
        <w:t xml:space="preserve">на прохождение ГИА-11 в досрочный, основной периоды проведения ГИА-11, ЕГЭ в 2026 году</w:t>
      </w:r>
      <w:r>
        <w:rPr>
          <w:sz w:val="28"/>
          <w:szCs w:val="28"/>
        </w:rPr>
        <w:t xml:space="preserve"> в соответствии с Порядком, утвержденным подпунктом 1.1 пункта 1 настоящего приказа.</w:t>
      </w:r>
      <w:r/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>
        <w:rPr>
          <w:sz w:val="28"/>
          <w:szCs w:val="28"/>
        </w:rPr>
        <w:t xml:space="preserve">Обеспечить н</w:t>
      </w:r>
      <w:r>
        <w:rPr>
          <w:sz w:val="28"/>
          <w:szCs w:val="28"/>
        </w:rPr>
        <w:t xml:space="preserve">азначение </w:t>
      </w:r>
      <w:r>
        <w:rPr>
          <w:sz w:val="28"/>
          <w:szCs w:val="28"/>
        </w:rPr>
        <w:t xml:space="preserve">в образовательных организациях </w:t>
      </w:r>
      <w:r>
        <w:rPr>
          <w:sz w:val="28"/>
          <w:szCs w:val="28"/>
        </w:rPr>
        <w:t xml:space="preserve">Ханты-Мансийского автономного округа – Югры </w:t>
      </w:r>
      <w:r>
        <w:rPr>
          <w:sz w:val="28"/>
          <w:szCs w:val="28"/>
        </w:rPr>
        <w:t xml:space="preserve">специалистов, ответственных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координацию организационно-технических процессов, связанных </w:t>
      </w:r>
      <w:r>
        <w:rPr>
          <w:sz w:val="28"/>
          <w:szCs w:val="28"/>
        </w:rPr>
        <w:t xml:space="preserve">с подачей и регистрацией заявлений на участие </w:t>
        <w:br/>
        <w:t xml:space="preserve">в </w:t>
      </w:r>
      <w:r>
        <w:rPr>
          <w:sz w:val="28"/>
          <w:szCs w:val="28"/>
        </w:rPr>
        <w:t xml:space="preserve">прохождении ГИА-11, с использованием </w:t>
      </w:r>
      <w:r>
        <w:rPr>
          <w:sz w:val="28"/>
          <w:szCs w:val="28"/>
        </w:rPr>
        <w:t xml:space="preserve">ЦОП «Образование Югры» </w:t>
        <w:br/>
        <w:t xml:space="preserve">в 2026 году.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</w:pPr>
      <w:r>
        <w:rPr>
          <w:sz w:val="28"/>
          <w:szCs w:val="28"/>
        </w:rPr>
        <w:t xml:space="preserve">3.4. Обеспечить прием и своевременную регистрацию заявлений </w:t>
      </w:r>
      <w:r>
        <w:rPr>
          <w:sz w:val="28"/>
          <w:szCs w:val="28"/>
        </w:rPr>
        <w:br/>
        <w:t xml:space="preserve">на прохождение ГИА-11 в 2026 году, в том числе </w:t>
      </w:r>
      <w:r>
        <w:rPr>
          <w:sz w:val="28"/>
          <w:szCs w:val="28"/>
        </w:rPr>
        <w:t xml:space="preserve">в дистанционном </w:t>
      </w:r>
      <w:r>
        <w:rPr>
          <w:sz w:val="28"/>
          <w:szCs w:val="28"/>
        </w:rPr>
        <w:t xml:space="preserve">формате, а также с использованием информационно-коммуникационных технологий, </w:t>
      </w:r>
      <w:r>
        <w:rPr>
          <w:sz w:val="28"/>
          <w:szCs w:val="28"/>
          <w:highlight w:val="none"/>
        </w:rPr>
        <w:t xml:space="preserve">через </w:t>
      </w:r>
      <w:r>
        <w:rPr>
          <w:sz w:val="28"/>
          <w:szCs w:val="28"/>
          <w:highlight w:val="none"/>
        </w:rPr>
        <w:t xml:space="preserve">ЦОП</w:t>
      </w:r>
      <w:r>
        <w:rPr>
          <w:highlight w:val="none"/>
        </w:rPr>
        <w:t xml:space="preserve"> </w:t>
      </w:r>
      <w:r>
        <w:rPr>
          <w:sz w:val="28"/>
          <w:szCs w:val="28"/>
          <w:highlight w:val="none"/>
        </w:rPr>
        <w:t xml:space="preserve">«Образование Югры»</w:t>
      </w:r>
      <w:r>
        <w:rPr>
          <w:sz w:val="28"/>
          <w:szCs w:val="28"/>
        </w:rPr>
        <w:t xml:space="preserve">.</w:t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4. </w:t>
      </w:r>
      <w:r>
        <w:rPr>
          <w:sz w:val="28"/>
          <w:szCs w:val="28"/>
        </w:rPr>
        <w:t xml:space="preserve">Рекомендовать руководителям государственных профес</w:t>
      </w:r>
      <w:r>
        <w:rPr>
          <w:sz w:val="28"/>
          <w:szCs w:val="28"/>
        </w:rPr>
        <w:t xml:space="preserve">сиональных образовательных организаций Ханты-Мансийского автономного округа – Югры, находящихся в ведении Департамента образования и науки Ханты-Мансийского автономного округа – Югры, Департамента культуры Ханты-Мансийского автономного округа – Югры </w:t>
      </w:r>
      <w:r>
        <w:rPr>
          <w:sz w:val="28"/>
          <w:szCs w:val="28"/>
          <w:highlight w:val="none"/>
        </w:rPr>
        <w:t xml:space="preserve">(Л.В</w:t>
      </w:r>
      <w:r>
        <w:rPr>
          <w:sz w:val="28"/>
          <w:szCs w:val="28"/>
          <w:highlight w:val="none"/>
        </w:rPr>
        <w:t xml:space="preserve">. Гапончикова, Л.Г. Гейстонина, И.Г. Енева, Н.В. Горбунова, М.Л. Адамович, О.В. Князева, М.В. Гребенец, П.В. Исупов, </w:t>
        <w:br/>
        <w:t xml:space="preserve">А.А. Десятов, С.Л. Гурьева, Е.И. Насырова, Н.Н. Болдырева, </w:t>
        <w:br/>
        <w:t xml:space="preserve">В.Н. Шутов, А.А. Севастьянова, С.В. Карманов, Т.А. Пшеницина, </w:t>
        <w:br/>
        <w:t xml:space="preserve">В.В. Карнаухов,</w:t>
      </w:r>
      <w:r>
        <w:rPr>
          <w:sz w:val="28"/>
          <w:szCs w:val="28"/>
          <w:highlight w:val="none"/>
        </w:rPr>
        <w:t xml:space="preserve"> Л.В. Максимова, </w:t>
      </w:r>
      <w:r>
        <w:rPr>
          <w:color w:val="000000"/>
          <w:spacing w:val="-2"/>
          <w:sz w:val="28"/>
          <w:szCs w:val="28"/>
        </w:rPr>
        <w:t xml:space="preserve">А.В. Тарасов,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 xml:space="preserve">Е.А. Мишина</w:t>
      </w:r>
      <w:r>
        <w:rPr>
          <w:sz w:val="28"/>
          <w:szCs w:val="28"/>
        </w:rPr>
        <w:t xml:space="preserve">), обеспечить:</w:t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4.1. Доведение настоящего приказа до сведения педагогов, обучающихся, их родителей (законных представителей).</w:t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4.2. </w:t>
      </w:r>
      <w:r>
        <w:rPr>
          <w:sz w:val="28"/>
          <w:szCs w:val="28"/>
        </w:rPr>
        <w:t xml:space="preserve">Содействие в работе мест регистрации заявлений </w:t>
      </w:r>
      <w:r>
        <w:rPr>
          <w:sz w:val="28"/>
          <w:szCs w:val="28"/>
        </w:rPr>
        <w:br/>
        <w:t xml:space="preserve">на прохождение ГИА-11, сдачу ЕГЭ в досрочный, основной периоды проведения ГИА-11, ЕГЭ в 2026 </w:t>
      </w:r>
      <w:r>
        <w:rPr>
          <w:sz w:val="28"/>
          <w:szCs w:val="28"/>
        </w:rPr>
        <w:t xml:space="preserve">году в соответс</w:t>
      </w:r>
      <w:r>
        <w:rPr>
          <w:sz w:val="28"/>
          <w:szCs w:val="28"/>
        </w:rPr>
        <w:t xml:space="preserve">твии с Порядком, утвержденным подпунктом 1.1 пункта 1 настоящего приказа, путем своевременного информирования об обучающихся, планирующих прохождение ГИА-11, сдачу ЕГЭ, и направления сведений </w:t>
        <w:br/>
        <w:t xml:space="preserve">об участниках ГИА-11, ЕГЭ, требуемых при формировании и ведении</w:t>
      </w:r>
      <w:r>
        <w:rPr>
          <w:sz w:val="28"/>
          <w:szCs w:val="28"/>
        </w:rPr>
        <w:t xml:space="preserve"> Региональной информационной системы обеспечения проведения государственной итоговой аттестации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обучающихся</w:t>
      </w:r>
      <w:r>
        <w:rPr>
          <w:sz w:val="28"/>
          <w:szCs w:val="28"/>
        </w:rPr>
        <w:t xml:space="preserve">, освоивших основные образовательные программы основного общего и среднего общего образования </w:t>
      </w:r>
      <w:r>
        <w:rPr>
          <w:sz w:val="28"/>
          <w:szCs w:val="28"/>
        </w:rPr>
        <w:t xml:space="preserve">(далее – РИС ГИА)</w:t>
      </w:r>
      <w:r>
        <w:rPr>
          <w:sz w:val="28"/>
          <w:szCs w:val="28"/>
        </w:rPr>
        <w:t xml:space="preserve">.</w:t>
      </w:r>
      <w:r/>
    </w:p>
    <w:p>
      <w:pPr>
        <w:ind w:firstLine="709"/>
        <w:jc w:val="both"/>
        <w:rPr>
          <w:rStyle w:val="937"/>
        </w:rPr>
      </w:pPr>
      <w:r>
        <w:rPr>
          <w:rStyle w:val="937"/>
        </w:rPr>
        <w:t xml:space="preserve">5. </w:t>
      </w:r>
      <w:r>
        <w:rPr>
          <w:rStyle w:val="937"/>
        </w:rPr>
        <w:t xml:space="preserve">Автономному учреждению дополнительного профессионального образования Ханты-Мансийского автономного округа – Югры </w:t>
      </w:r>
      <w:r>
        <w:rPr>
          <w:rStyle w:val="937"/>
        </w:rPr>
        <w:t xml:space="preserve">«Институт развития образования» </w:t>
      </w:r>
      <w:r>
        <w:rPr>
          <w:rStyle w:val="937"/>
        </w:rPr>
        <w:t xml:space="preserve">–</w:t>
      </w:r>
      <w:r>
        <w:rPr>
          <w:rStyle w:val="937"/>
        </w:rPr>
        <w:t xml:space="preserve"> организации, уполномоченной осуществлять функции Регионального центра обработки информации </w:t>
      </w:r>
      <w:r>
        <w:rPr>
          <w:rStyle w:val="937"/>
        </w:rPr>
        <w:t xml:space="preserve">(далее – РЦОИ) </w:t>
      </w:r>
      <w:r>
        <w:rPr>
          <w:rStyle w:val="937"/>
        </w:rPr>
        <w:t xml:space="preserve">(</w:t>
      </w:r>
      <w:r>
        <w:rPr>
          <w:rStyle w:val="937"/>
        </w:rPr>
        <w:t xml:space="preserve">Клюсова</w:t>
      </w:r>
      <w:r>
        <w:rPr>
          <w:rStyle w:val="937"/>
        </w:rPr>
        <w:t xml:space="preserve"> В.В.), обеспечить:</w:t>
      </w:r>
      <w:r>
        <w:rPr>
          <w:rStyle w:val="937"/>
        </w:rPr>
      </w:r>
      <w:r>
        <w:rPr>
          <w:rStyle w:val="937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rStyle w:val="937"/>
        </w:rPr>
        <w:t xml:space="preserve">5.1. О</w:t>
      </w:r>
      <w:r>
        <w:rPr>
          <w:rStyle w:val="937"/>
        </w:rPr>
        <w:t xml:space="preserve">рганизационное сопровождение образовательных учреждений, включенных в перечень </w:t>
      </w:r>
      <w:r>
        <w:rPr>
          <w:sz w:val="28"/>
          <w:szCs w:val="28"/>
        </w:rPr>
        <w:t xml:space="preserve">мест регистрации заявлений </w:t>
        <w:br/>
        <w:t xml:space="preserve">на прохождение ГИА-11, сдачу ЕГЭ, с местами их расположения </w:t>
        <w:br/>
        <w:t xml:space="preserve">на территории Ханты-Мансийского автономного округа – Югры </w:t>
        <w:br/>
        <w:t xml:space="preserve">в 2026 году</w:t>
      </w:r>
      <w:r>
        <w:rPr>
          <w:rStyle w:val="937"/>
        </w:rPr>
        <w:t xml:space="preserve">, утвержденный подпунктом 1.2 пункта 1 настоящего приказа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rStyle w:val="937"/>
        </w:rPr>
      </w:pPr>
      <w:r>
        <w:rPr>
          <w:sz w:val="28"/>
          <w:szCs w:val="28"/>
        </w:rPr>
        <w:t xml:space="preserve">5.2. С</w:t>
      </w:r>
      <w:r>
        <w:rPr>
          <w:sz w:val="28"/>
          <w:szCs w:val="28"/>
        </w:rPr>
        <w:t xml:space="preserve">воевременное</w:t>
      </w:r>
      <w:r>
        <w:rPr>
          <w:sz w:val="28"/>
          <w:szCs w:val="28"/>
        </w:rPr>
        <w:t xml:space="preserve"> формирование и ведение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РИС ГИА </w:t>
        <w:br/>
      </w:r>
      <w:r>
        <w:rPr>
          <w:sz w:val="28"/>
          <w:szCs w:val="28"/>
        </w:rPr>
        <w:t xml:space="preserve">(в пределах сроков подачи заявлений </w:t>
      </w:r>
      <w:r>
        <w:rPr>
          <w:sz w:val="28"/>
          <w:szCs w:val="28"/>
        </w:rPr>
        <w:t xml:space="preserve">на прохождение ГИА-11</w:t>
      </w:r>
      <w:r>
        <w:rPr>
          <w:sz w:val="28"/>
          <w:szCs w:val="28"/>
        </w:rPr>
        <w:t xml:space="preserve">, размещения результатов ГИА-11</w:t>
      </w:r>
      <w:r>
        <w:rPr>
          <w:sz w:val="28"/>
          <w:szCs w:val="28"/>
        </w:rPr>
        <w:t xml:space="preserve"> в целях </w:t>
      </w:r>
      <w:r>
        <w:rPr>
          <w:sz w:val="28"/>
          <w:szCs w:val="28"/>
        </w:rPr>
        <w:t xml:space="preserve">ознакомления с ними участников ГИА-11</w:t>
      </w:r>
      <w:r>
        <w:rPr>
          <w:sz w:val="28"/>
          <w:szCs w:val="28"/>
        </w:rPr>
        <w:t xml:space="preserve">, подачи апелляций</w:t>
      </w:r>
      <w:r>
        <w:rPr>
          <w:sz w:val="28"/>
          <w:szCs w:val="28"/>
        </w:rPr>
        <w:t xml:space="preserve">).</w:t>
      </w:r>
      <w:r>
        <w:rPr>
          <w:rStyle w:val="937"/>
        </w:rPr>
      </w:r>
      <w:r>
        <w:rPr>
          <w:rStyle w:val="937"/>
        </w:rPr>
      </w:r>
    </w:p>
    <w:p>
      <w:pPr>
        <w:ind w:firstLine="709"/>
        <w:jc w:val="both"/>
      </w:pPr>
      <w:r>
        <w:rPr>
          <w:rStyle w:val="937"/>
        </w:rPr>
        <w:t xml:space="preserve">6. </w:t>
      </w:r>
      <w:r>
        <w:rPr>
          <w:rStyle w:val="937"/>
        </w:rPr>
        <w:t xml:space="preserve">Ад</w:t>
      </w:r>
      <w:r>
        <w:rPr>
          <w:rStyle w:val="937"/>
        </w:rPr>
        <w:t xml:space="preserve">министративно-ресурсному отделу Административного управления Департамента образования и науки Ханты-Мансийского автономного округа – Югры (А.В. Никонов) обеспечить </w:t>
      </w:r>
      <w:r>
        <w:rPr>
          <w:bCs/>
          <w:color w:val="000000"/>
          <w:spacing w:val="-6"/>
          <w:position w:val="2"/>
          <w:sz w:val="28"/>
          <w:szCs w:val="28"/>
        </w:rPr>
        <w:t xml:space="preserve">размещение </w:t>
      </w:r>
      <w:r>
        <w:rPr>
          <w:bCs/>
          <w:color w:val="000000"/>
          <w:spacing w:val="-6"/>
          <w:position w:val="2"/>
          <w:sz w:val="28"/>
          <w:szCs w:val="28"/>
        </w:rPr>
        <w:t xml:space="preserve">на официальном сайте Департамента </w:t>
      </w:r>
      <w:r>
        <w:rPr>
          <w:rStyle w:val="937"/>
        </w:rPr>
        <w:t xml:space="preserve">образования и науки </w:t>
        <w:br/>
        <w:t xml:space="preserve">Ханты-Мансийского автономного округа – Югры </w:t>
      </w:r>
      <w:r>
        <w:rPr>
          <w:rStyle w:val="937"/>
        </w:rPr>
        <w:t xml:space="preserve">и рассылку настоящего приказа </w:t>
      </w:r>
      <w:r>
        <w:rPr>
          <w:sz w:val="28"/>
          <w:szCs w:val="28"/>
        </w:rPr>
        <w:t xml:space="preserve">в</w:t>
      </w:r>
      <w:r>
        <w:rPr>
          <w:sz w:val="28"/>
          <w:szCs w:val="28"/>
        </w:rPr>
        <w:t xml:space="preserve"> РЦОИ,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</w:rPr>
        <w:t xml:space="preserve">структурные подразделения</w:t>
      </w:r>
      <w:r>
        <w:rPr>
          <w:rFonts w:ascii="Times New Roman" w:hAnsi="Times New Roman"/>
          <w:sz w:val="28"/>
          <w:szCs w:val="28"/>
          <w:highlight w:val="none"/>
        </w:rPr>
        <w:t xml:space="preserve"> исполнительно-распорядительных органов городских округов, муниципальных районов Ханты-Мансийского автономного округа </w:t>
        <w:br/>
        <w:t xml:space="preserve">– Югры, курирующие вопросы образования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бюджетное профессиональное образовательное учреждение Ха</w:t>
      </w:r>
      <w:r>
        <w:rPr>
          <w:sz w:val="28"/>
          <w:szCs w:val="28"/>
        </w:rPr>
        <w:t xml:space="preserve">нты-Мансийского автономного округа – Югры «Колледж-интернат Центр искусств для одарённых детей Севера», автономное профессиональное образовательное учреждение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Ханты-Мансийского автономного </w:t>
        <w:br/>
        <w:t xml:space="preserve">округа – Югры «Югорский колледж-интернат олимпийского резерва», бюд</w:t>
      </w:r>
      <w:r>
        <w:rPr>
          <w:sz w:val="28"/>
          <w:szCs w:val="28"/>
        </w:rPr>
        <w:t xml:space="preserve">жетное профессиональное образовательное учреждение Ханты-Мансийского автономного округа – Югры «</w:t>
      </w:r>
      <w:r>
        <w:rPr>
          <w:sz w:val="28"/>
          <w:szCs w:val="28"/>
        </w:rPr>
        <w:t xml:space="preserve">Сургутский</w:t>
      </w:r>
      <w:r>
        <w:rPr>
          <w:sz w:val="28"/>
          <w:szCs w:val="28"/>
        </w:rPr>
        <w:t xml:space="preserve"> колледж русской культуры им. А.С. Знаменского», казенное общеобразовательное учреждение Ханты-Мансийского автономного округа – Югры «Специальная учеб</w:t>
      </w:r>
      <w:r>
        <w:rPr>
          <w:sz w:val="28"/>
          <w:szCs w:val="28"/>
        </w:rPr>
        <w:t xml:space="preserve">но-воспитательная школа № 1», </w:t>
      </w:r>
      <w:r>
        <w:rPr>
          <w:sz w:val="28"/>
          <w:szCs w:val="28"/>
        </w:rPr>
        <w:t xml:space="preserve">казенное общеобразовательное учреждение Ханты-Мансийского автономного округа – Югры «Специальная учеб</w:t>
      </w:r>
      <w:r>
        <w:rPr>
          <w:sz w:val="28"/>
          <w:szCs w:val="28"/>
        </w:rPr>
        <w:t xml:space="preserve">но-воспитательная школа № 2», </w:t>
      </w:r>
      <w:r>
        <w:rPr>
          <w:sz w:val="28"/>
          <w:szCs w:val="28"/>
        </w:rPr>
        <w:t xml:space="preserve">казенное общеобразовательное учреждение Ханты-Мансийского автономного округа – Югры «Кадетская школа-интернат имени Героя Советского Союза </w:t>
      </w:r>
      <w:r>
        <w:rPr>
          <w:sz w:val="28"/>
          <w:szCs w:val="28"/>
        </w:rPr>
        <w:t xml:space="preserve">Безноскова</w:t>
      </w:r>
      <w:r>
        <w:rPr>
          <w:sz w:val="28"/>
          <w:szCs w:val="28"/>
        </w:rPr>
        <w:t xml:space="preserve"> Ивана Захаровича», бюджетное общеобразовательное учреждение Ханты-Мансийског</w:t>
      </w:r>
      <w:r>
        <w:rPr>
          <w:sz w:val="28"/>
          <w:szCs w:val="28"/>
        </w:rPr>
        <w:t xml:space="preserve">о автономного округа – Югры «Югорский физико-математический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лицей-интернат</w:t>
      </w:r>
      <w:r>
        <w:rPr>
          <w:sz w:val="28"/>
          <w:szCs w:val="28"/>
        </w:rPr>
        <w:t xml:space="preserve">», бюджетное общеобразовательное учреж</w:t>
      </w:r>
      <w:r>
        <w:rPr>
          <w:sz w:val="28"/>
          <w:szCs w:val="28"/>
        </w:rPr>
        <w:t xml:space="preserve">дение </w:t>
        <w:br/>
        <w:t xml:space="preserve">Ханты-Мансийского автономного округа – Югры «Лицей </w:t>
        <w:br/>
        <w:t xml:space="preserve">им. Г.Ф. Атякшева»,  профессиональные образовательные организации, реализующие образовательные программы среднего профессионального образования, подведомственные Департаменту образования и науки Хант</w:t>
      </w:r>
      <w:r>
        <w:rPr>
          <w:sz w:val="28"/>
          <w:szCs w:val="28"/>
        </w:rPr>
        <w:t xml:space="preserve">ы-Мансийского автономного округа – Югры, автономное учреждение дополнительного профессионального образования Ханты-Мансийского автономного округа – Югры «Институт развития образования».</w:t>
      </w:r>
      <w:r/>
    </w:p>
    <w:p>
      <w:pPr>
        <w:ind w:right="35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. Контроль исполнения настоящего приказа возложить </w:t>
      </w:r>
      <w:r>
        <w:rPr>
          <w:sz w:val="28"/>
          <w:szCs w:val="28"/>
        </w:rPr>
        <w:br/>
        <w:t xml:space="preserve">на заместителя ди</w:t>
      </w:r>
      <w:r>
        <w:rPr>
          <w:sz w:val="28"/>
          <w:szCs w:val="28"/>
        </w:rPr>
        <w:t xml:space="preserve">ректора </w:t>
      </w:r>
      <w:r>
        <w:rPr>
          <w:rStyle w:val="937"/>
        </w:rPr>
        <w:t xml:space="preserve">Департамента образования и науки </w:t>
      </w:r>
      <w:r>
        <w:rPr>
          <w:rStyle w:val="937"/>
        </w:rPr>
        <w:br/>
        <w:t xml:space="preserve">Ханты-Мансийского автономного округа – Югры </w:t>
      </w:r>
      <w:r>
        <w:rPr>
          <w:sz w:val="28"/>
          <w:szCs w:val="28"/>
        </w:rPr>
        <w:t xml:space="preserve">И.В. </w:t>
      </w:r>
      <w:r>
        <w:rPr>
          <w:sz w:val="28"/>
          <w:szCs w:val="28"/>
        </w:rPr>
        <w:t xml:space="preserve">Святченко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350"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right="350"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right="35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909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16"/>
        <w:gridCol w:w="3912"/>
        <w:gridCol w:w="1867"/>
      </w:tblGrid>
      <w:tr>
        <w:tblPrEx/>
        <w:trPr>
          <w:trHeight w:val="1641"/>
        </w:trPr>
        <w:tc>
          <w:tcPr>
            <w:tcW w:w="3317" w:type="dxa"/>
            <w:textDirection w:val="lrTb"/>
            <w:noWrap w:val="false"/>
          </w:tcPr>
          <w:p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Департамента</w:t>
            </w:r>
            <w:r>
              <w:rPr>
                <w:color w:val="000000" w:themeColor="text1"/>
                <w:sz w:val="28"/>
                <w:szCs w:val="28"/>
              </w:rPr>
            </w:r>
            <w:r>
              <w:rPr>
                <w:color w:val="000000" w:themeColor="text1"/>
                <w:sz w:val="28"/>
                <w:szCs w:val="28"/>
              </w:rPr>
            </w:r>
          </w:p>
        </w:tc>
        <w:tc>
          <w:tcPr>
            <w:tcW w:w="391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b/>
                <w:color w:val="d9d9d9"/>
              </w:rPr>
            </w:pPr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-26035</wp:posOffset>
                      </wp:positionV>
                      <wp:extent cx="2447925" cy="1003300"/>
                      <wp:effectExtent l="0" t="0" r="9525" b="6350"/>
                      <wp:wrapNone/>
                      <wp:docPr id="4" name="Рисунок 1" descr="Изображение выглядит как текст, снимок экрана, Прямоугольник, дизайн&#10;&#10;Содержимое, созданное искусственным интеллектом, может быть неверным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837522089" name="Рисунок 1" descr="Изображение выглядит как текст, снимок экрана, Прямоугольник, дизайн&#10;&#10;Содержимое, созданное искусственным интеллектом, может быть неверным.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447924" cy="1003299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" o:spid="_x0000_s3" type="#_x0000_t75" style="position:absolute;z-index:-251659264;o:allowoverlap:true;o:allowincell:true;mso-position-horizontal-relative:text;margin-left:-4.80pt;mso-position-horizontal:absolute;mso-position-vertical-relative:text;margin-top:-2.05pt;mso-position-vertical:absolute;width:192.75pt;height:79.00pt;mso-wrap-distance-left:9.00pt;mso-wrap-distance-top:0.00pt;mso-wrap-distance-right:9.00pt;mso-wrap-distance-bottom:0.00pt;" stroked="false">
                      <v:path textboxrect="0,0,0,0"/>
                      <v:imagedata r:id="rId15" o:title=""/>
                    </v:shape>
                  </w:pict>
                </mc:Fallback>
              </mc:AlternateContent>
            </w:r>
            <w:r>
              <w:rPr>
                <w:rFonts w:ascii="Calibri" w:hAnsi="Calibri" w:cs="Calibri"/>
                <w:b/>
                <w:color w:val="d9d9d9"/>
              </w:rPr>
              <w:t xml:space="preserve">ДОКУМЕНТ ПОДПИСАН</w:t>
            </w:r>
            <w:r>
              <w:rPr>
                <w:rFonts w:ascii="Calibri" w:hAnsi="Calibri" w:cs="Calibri"/>
                <w:b/>
                <w:color w:val="d9d9d9"/>
              </w:rPr>
            </w:r>
            <w:r>
              <w:rPr>
                <w:rFonts w:ascii="Calibri" w:hAnsi="Calibri" w:cs="Calibri"/>
                <w:b/>
                <w:color w:val="d9d9d9"/>
              </w:rPr>
            </w:r>
          </w:p>
          <w:p>
            <w:pPr>
              <w:jc w:val="center"/>
              <w:rPr>
                <w:rFonts w:ascii="Calibri" w:hAnsi="Calibri" w:cs="Calibri"/>
                <w:b/>
                <w:color w:val="d9d9d9"/>
              </w:rPr>
            </w:pPr>
            <w:r>
              <w:rPr>
                <w:rFonts w:ascii="Calibri" w:hAnsi="Calibri" w:cs="Calibri"/>
                <w:b/>
                <w:color w:val="d9d9d9"/>
              </w:rPr>
              <w:t xml:space="preserve">ЭЛЕКТРОННОЙ ПОДПИСЬЮ</w:t>
            </w:r>
            <w:r>
              <w:rPr>
                <w:rFonts w:ascii="Calibri" w:hAnsi="Calibri" w:cs="Calibri"/>
                <w:b/>
                <w:color w:val="d9d9d9"/>
              </w:rPr>
            </w:r>
            <w:r>
              <w:rPr>
                <w:rFonts w:ascii="Calibri" w:hAnsi="Calibri" w:cs="Calibri"/>
                <w:b/>
                <w:color w:val="d9d9d9"/>
              </w:rPr>
            </w:r>
          </w:p>
          <w:p>
            <w:pPr>
              <w:rPr>
                <w:rFonts w:ascii="Calibri" w:hAnsi="Calibri" w:cs="Calibri"/>
                <w:color w:val="d9d9d9"/>
                <w:sz w:val="8"/>
                <w:szCs w:val="8"/>
              </w:rPr>
            </w:pPr>
            <w:r>
              <w:rPr>
                <w:rFonts w:ascii="Calibri" w:hAnsi="Calibri" w:cs="Calibri"/>
                <w:color w:val="d9d9d9"/>
                <w:sz w:val="8"/>
                <w:szCs w:val="8"/>
              </w:rPr>
            </w:r>
            <w:r>
              <w:rPr>
                <w:rFonts w:ascii="Calibri" w:hAnsi="Calibri" w:cs="Calibri"/>
                <w:color w:val="d9d9d9"/>
                <w:sz w:val="8"/>
                <w:szCs w:val="8"/>
              </w:rPr>
            </w:r>
            <w:r>
              <w:rPr>
                <w:rFonts w:ascii="Calibri" w:hAnsi="Calibri" w:cs="Calibri"/>
                <w:color w:val="d9d9d9"/>
                <w:sz w:val="8"/>
                <w:szCs w:val="8"/>
              </w:rPr>
            </w:r>
          </w:p>
          <w:p>
            <w:pPr>
              <w:ind w:firstLine="142"/>
              <w:rPr>
                <w:rFonts w:ascii="Calibri" w:hAnsi="Calibri" w:cs="Calibri"/>
                <w:color w:val="d9d9d9"/>
                <w:sz w:val="18"/>
                <w:szCs w:val="18"/>
              </w:rPr>
            </w:pPr>
            <w:r>
              <w:rPr>
                <w:rFonts w:ascii="Calibri" w:hAnsi="Calibri" w:cs="Calibri"/>
                <w:color w:val="d9d9d9"/>
                <w:sz w:val="18"/>
                <w:szCs w:val="18"/>
              </w:rPr>
              <w:t xml:space="preserve">Сертификат [Номер сертификата 1]</w:t>
            </w:r>
            <w:r>
              <w:rPr>
                <w:rFonts w:ascii="Calibri" w:hAnsi="Calibri" w:cs="Calibri"/>
                <w:color w:val="d9d9d9"/>
                <w:sz w:val="18"/>
                <w:szCs w:val="18"/>
              </w:rPr>
            </w:r>
            <w:r>
              <w:rPr>
                <w:rFonts w:ascii="Calibri" w:hAnsi="Calibri" w:cs="Calibri"/>
                <w:color w:val="d9d9d9"/>
                <w:sz w:val="18"/>
                <w:szCs w:val="18"/>
              </w:rPr>
            </w:r>
          </w:p>
          <w:p>
            <w:pPr>
              <w:ind w:firstLine="142"/>
              <w:rPr>
                <w:rFonts w:ascii="Calibri" w:hAnsi="Calibri" w:cs="Calibri"/>
                <w:color w:val="d9d9d9"/>
                <w:sz w:val="18"/>
                <w:szCs w:val="18"/>
              </w:rPr>
            </w:pPr>
            <w:r>
              <w:rPr>
                <w:rFonts w:ascii="Calibri" w:hAnsi="Calibri" w:cs="Calibri"/>
                <w:color w:val="d9d9d9"/>
                <w:sz w:val="18"/>
                <w:szCs w:val="18"/>
              </w:rPr>
              <w:t xml:space="preserve">Владелец [Владелец сертификата 1]</w:t>
            </w:r>
            <w:r>
              <w:rPr>
                <w:rFonts w:ascii="Calibri" w:hAnsi="Calibri" w:cs="Calibri"/>
                <w:color w:val="d9d9d9"/>
                <w:sz w:val="18"/>
                <w:szCs w:val="18"/>
              </w:rPr>
            </w:r>
            <w:r>
              <w:rPr>
                <w:rFonts w:ascii="Calibri" w:hAnsi="Calibri" w:cs="Calibri"/>
                <w:color w:val="d9d9d9"/>
                <w:sz w:val="18"/>
                <w:szCs w:val="18"/>
              </w:rPr>
            </w:r>
          </w:p>
          <w:p>
            <w:pPr>
              <w:ind w:firstLine="142"/>
              <w:rPr>
                <w:sz w:val="10"/>
                <w:szCs w:val="10"/>
              </w:rPr>
            </w:pPr>
            <w:r>
              <w:rPr>
                <w:rFonts w:ascii="Calibri" w:hAnsi="Calibri" w:cs="Calibri"/>
                <w:color w:val="d9d9d9"/>
                <w:sz w:val="18"/>
                <w:szCs w:val="18"/>
              </w:rPr>
              <w:t xml:space="preserve">Действителен с [</w:t>
            </w:r>
            <w:r>
              <w:rPr>
                <w:rFonts w:ascii="Calibri" w:hAnsi="Calibri" w:cs="Calibri"/>
                <w:color w:val="d9d9d9"/>
                <w:sz w:val="18"/>
                <w:szCs w:val="18"/>
              </w:rPr>
              <w:t xml:space="preserve">ДатаС</w:t>
            </w:r>
            <w:r>
              <w:rPr>
                <w:rFonts w:ascii="Calibri" w:hAnsi="Calibri" w:cs="Calibri"/>
                <w:color w:val="d9d9d9"/>
                <w:sz w:val="18"/>
                <w:szCs w:val="18"/>
              </w:rPr>
              <w:t xml:space="preserve"> 1] по [</w:t>
            </w:r>
            <w:r>
              <w:rPr>
                <w:rFonts w:ascii="Calibri" w:hAnsi="Calibri" w:cs="Calibri"/>
                <w:color w:val="d9d9d9"/>
                <w:sz w:val="18"/>
                <w:szCs w:val="18"/>
              </w:rPr>
              <w:t xml:space="preserve">ДатаПо</w:t>
            </w:r>
            <w:r>
              <w:rPr>
                <w:rFonts w:ascii="Calibri" w:hAnsi="Calibri" w:cs="Calibri"/>
                <w:color w:val="d9d9d9"/>
                <w:sz w:val="18"/>
                <w:szCs w:val="18"/>
              </w:rPr>
              <w:t xml:space="preserve"> 1]</w:t>
            </w:r>
            <w:r>
              <w:rPr>
                <w:sz w:val="10"/>
                <w:szCs w:val="10"/>
              </w:rPr>
            </w:r>
            <w:r>
              <w:rPr>
                <w:sz w:val="10"/>
                <w:szCs w:val="10"/>
              </w:rPr>
            </w:r>
          </w:p>
        </w:tc>
        <w:tc>
          <w:tcPr>
            <w:tcW w:w="1867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А.А. Дренин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</w:tr>
    </w:tbl>
    <w:p>
      <w:pPr>
        <w:ind w:right="35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9"/>
      <w:headerReference w:type="even" r:id="rId10"/>
      <w:headerReference w:type="first" r:id="rId11"/>
      <w:footerReference w:type="first" r:id="rId12"/>
      <w:footnotePr/>
      <w:endnotePr/>
      <w:type w:val="nextPage"/>
      <w:pgSz w:w="11906" w:h="16838" w:orient="portrait"/>
      <w:pgMar w:top="1135" w:right="1560" w:bottom="963" w:left="1559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Sylfaen">
    <w:panose1 w:val="010A0502050306030303"/>
  </w:font>
  <w:font w:name="Verdana">
    <w:panose1 w:val="020B0604030504040204"/>
  </w:font>
  <w:font w:name="Tahoma">
    <w:panose1 w:val="020B060403050404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9"/>
      <w:jc w:val="center"/>
    </w:pPr>
    <w:fldSimple w:instr="PAGE \* MERGEFORMAT">
      <w:r>
        <w:t xml:space="preserve">1</w:t>
      </w:r>
    </w:fldSimple>
    <w:r/>
    <w:r/>
  </w:p>
  <w:p>
    <w:pPr>
      <w:pStyle w:val="959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9"/>
      <w:rPr>
        <w:rStyle w:val="969"/>
      </w:rPr>
      <w:framePr w:wrap="around" w:vAnchor="text" w:hAnchor="margin" w:xAlign="center" w:y="1"/>
    </w:pPr>
    <w:r>
      <w:rPr>
        <w:rStyle w:val="969"/>
      </w:rPr>
      <w:fldChar w:fldCharType="begin"/>
    </w:r>
    <w:r>
      <w:rPr>
        <w:rStyle w:val="969"/>
      </w:rPr>
      <w:instrText xml:space="preserve">PAGE  </w:instrText>
    </w:r>
    <w:r>
      <w:rPr>
        <w:rStyle w:val="969"/>
      </w:rPr>
      <w:fldChar w:fldCharType="separate"/>
    </w:r>
    <w:r>
      <w:rPr>
        <w:rStyle w:val="969"/>
      </w:rPr>
      <w:t xml:space="preserve">24</w:t>
    </w:r>
    <w:r>
      <w:rPr>
        <w:rStyle w:val="969"/>
      </w:rPr>
      <w:fldChar w:fldCharType="end"/>
    </w:r>
    <w:r>
      <w:rPr>
        <w:rStyle w:val="969"/>
      </w:rPr>
    </w:r>
    <w:r>
      <w:rPr>
        <w:rStyle w:val="969"/>
      </w:rPr>
    </w:r>
  </w:p>
  <w:p>
    <w:pPr>
      <w:pStyle w:val="959"/>
      <w:ind w:right="360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  <w:lang w:val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  <w:lang w:val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1212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12" w:hanging="216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  <w:lang w:val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  <w:lang w:val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  <w:lang w:val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  <w:lang w:val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  <w:lang w:val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  <w:lang w:val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  <w:lang w:val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502" w:hanging="360"/>
      </w:pPr>
      <w:rPr>
        <w:rFonts w:hint="default"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  <w:lang w:val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0" w:hanging="423"/>
      </w:pPr>
      <w:rPr>
        <w:rFonts w:hint="default" w:ascii="Times New Roman" w:hAnsi="Times New Roman" w:eastAsia="Times New Roman" w:cs="Times New Roman"/>
        <w:spacing w:val="0"/>
        <w:sz w:val="28"/>
        <w:szCs w:val="28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1312" w:hanging="493"/>
      </w:pPr>
      <w:rPr>
        <w:rFonts w:hint="default" w:ascii="Times New Roman" w:hAnsi="Times New Roman" w:eastAsia="Times New Roman" w:cs="Times New Roman"/>
        <w:sz w:val="28"/>
        <w:szCs w:val="28"/>
        <w:lang w:val="ru-RU" w:eastAsia="en-US" w:bidi="ar-SA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0" w:hanging="887"/>
      </w:pPr>
      <w:rPr>
        <w:rFonts w:hint="default" w:ascii="Times New Roman" w:hAnsi="Times New Roman" w:eastAsia="Times New Roman" w:cs="Times New Roman"/>
        <w:spacing w:val="-3"/>
        <w:sz w:val="28"/>
        <w:szCs w:val="28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090" w:hanging="887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975" w:hanging="887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60" w:hanging="887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745" w:hanging="887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630" w:hanging="887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516" w:hanging="887"/>
      </w:pPr>
      <w:rPr>
        <w:rFonts w:hint="default"/>
        <w:lang w:val="ru-RU" w:eastAsia="en-US" w:bidi="ar-SA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8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5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2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9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4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1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589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0" w:hanging="423"/>
      </w:pPr>
      <w:rPr>
        <w:rFonts w:hint="default" w:ascii="Times New Roman" w:hAnsi="Times New Roman" w:eastAsia="Times New Roman" w:cs="Times New Roman"/>
        <w:spacing w:val="0"/>
        <w:sz w:val="28"/>
        <w:szCs w:val="28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1312" w:hanging="493"/>
      </w:pPr>
      <w:rPr>
        <w:rFonts w:hint="default" w:ascii="Times New Roman" w:hAnsi="Times New Roman" w:eastAsia="Times New Roman" w:cs="Times New Roman"/>
        <w:sz w:val="28"/>
        <w:szCs w:val="28"/>
        <w:lang w:val="ru-RU" w:eastAsia="en-US" w:bidi="ar-SA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0" w:hanging="887"/>
      </w:pPr>
      <w:rPr>
        <w:rFonts w:hint="default" w:ascii="Times New Roman" w:hAnsi="Times New Roman" w:eastAsia="Times New Roman" w:cs="Times New Roman"/>
        <w:spacing w:val="-3"/>
        <w:sz w:val="28"/>
        <w:szCs w:val="28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090" w:hanging="887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975" w:hanging="887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60" w:hanging="887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745" w:hanging="887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630" w:hanging="887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516" w:hanging="887"/>
      </w:pPr>
      <w:rPr>
        <w:rFonts w:hint="default"/>
        <w:lang w:val="ru-RU" w:eastAsia="en-US" w:bidi="ar-SA"/>
      </w:rPr>
    </w:lvl>
  </w:abstractNum>
  <w:abstractNum w:abstractNumId="26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0" w:firstLine="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isLgl w:val="false"/>
      <w:suff w:val="space"/>
      <w:lvlText w:val="%1.%2."/>
      <w:lvlJc w:val="left"/>
      <w:pPr>
        <w:ind w:left="0" w:firstLine="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highlight w:val="none"/>
        <w:u w:val="none"/>
        <w:lang w:val="ru-RU" w:eastAsia="ru-RU" w:bidi="ru-RU"/>
      </w:rPr>
    </w:lvl>
    <w:lvl w:ilvl="2">
      <w:start w:val="1"/>
      <w:numFmt w:val="decimal"/>
      <w:isLgl w:val="false"/>
      <w:suff w:val="space"/>
      <w:lvlText w:val="%1.%2.%3."/>
      <w:lvlJc w:val="left"/>
      <w:pPr>
        <w:ind w:left="0" w:firstLine="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 w:eastAsia="ru-RU" w:bidi="ru-RU"/>
      </w:r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4"/>
  </w:num>
  <w:num w:numId="2">
    <w:abstractNumId w:val="19"/>
  </w:num>
  <w:num w:numId="3">
    <w:abstractNumId w:val="16"/>
  </w:num>
  <w:num w:numId="4">
    <w:abstractNumId w:val="5"/>
  </w:num>
  <w:num w:numId="5">
    <w:abstractNumId w:val="17"/>
  </w:num>
  <w:num w:numId="6">
    <w:abstractNumId w:val="3"/>
  </w:num>
  <w:num w:numId="7">
    <w:abstractNumId w:val="11"/>
  </w:num>
  <w:num w:numId="8">
    <w:abstractNumId w:val="18"/>
  </w:num>
  <w:num w:numId="9">
    <w:abstractNumId w:val="2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8"/>
  </w:num>
  <w:num w:numId="14">
    <w:abstractNumId w:val="1"/>
  </w:num>
  <w:num w:numId="15">
    <w:abstractNumId w:val="13"/>
  </w:num>
  <w:num w:numId="16">
    <w:abstractNumId w:val="9"/>
  </w:num>
  <w:num w:numId="17">
    <w:abstractNumId w:val="12"/>
  </w:num>
  <w:num w:numId="18">
    <w:abstractNumId w:val="2"/>
  </w:num>
  <w:num w:numId="19">
    <w:abstractNumId w:val="15"/>
  </w:num>
  <w:num w:numId="20">
    <w:abstractNumId w:val="7"/>
  </w:num>
  <w:num w:numId="21">
    <w:abstractNumId w:val="6"/>
  </w:num>
  <w:num w:numId="22">
    <w:abstractNumId w:val="22"/>
  </w:num>
  <w:num w:numId="23">
    <w:abstractNumId w:val="14"/>
  </w:num>
  <w:num w:numId="24">
    <w:abstractNumId w:val="0"/>
  </w:num>
  <w:num w:numId="25">
    <w:abstractNumId w:val="23"/>
  </w:num>
  <w:num w:numId="26">
    <w:abstractNumId w:val="24"/>
  </w:num>
  <w:num w:numId="27">
    <w:abstractNumId w:val="25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5">
    <w:name w:val="Heading 1 Char"/>
    <w:basedOn w:val="934"/>
    <w:link w:val="928"/>
    <w:uiPriority w:val="9"/>
    <w:rPr>
      <w:rFonts w:ascii="Arial" w:hAnsi="Arial" w:eastAsia="Arial" w:cs="Arial"/>
      <w:sz w:val="40"/>
      <w:szCs w:val="40"/>
    </w:rPr>
  </w:style>
  <w:style w:type="character" w:styleId="766">
    <w:name w:val="Heading 2 Char"/>
    <w:basedOn w:val="934"/>
    <w:link w:val="929"/>
    <w:uiPriority w:val="9"/>
    <w:rPr>
      <w:rFonts w:ascii="Arial" w:hAnsi="Arial" w:eastAsia="Arial" w:cs="Arial"/>
      <w:sz w:val="34"/>
    </w:rPr>
  </w:style>
  <w:style w:type="character" w:styleId="767">
    <w:name w:val="Heading 3 Char"/>
    <w:basedOn w:val="934"/>
    <w:link w:val="930"/>
    <w:uiPriority w:val="9"/>
    <w:rPr>
      <w:rFonts w:ascii="Arial" w:hAnsi="Arial" w:eastAsia="Arial" w:cs="Arial"/>
      <w:sz w:val="30"/>
      <w:szCs w:val="30"/>
    </w:rPr>
  </w:style>
  <w:style w:type="character" w:styleId="768">
    <w:name w:val="Heading 4 Char"/>
    <w:basedOn w:val="934"/>
    <w:link w:val="931"/>
    <w:uiPriority w:val="9"/>
    <w:rPr>
      <w:rFonts w:ascii="Arial" w:hAnsi="Arial" w:eastAsia="Arial" w:cs="Arial"/>
      <w:b/>
      <w:bCs/>
      <w:sz w:val="26"/>
      <w:szCs w:val="26"/>
    </w:rPr>
  </w:style>
  <w:style w:type="character" w:styleId="769">
    <w:name w:val="Heading 5 Char"/>
    <w:basedOn w:val="934"/>
    <w:link w:val="932"/>
    <w:uiPriority w:val="9"/>
    <w:rPr>
      <w:rFonts w:ascii="Arial" w:hAnsi="Arial" w:eastAsia="Arial" w:cs="Arial"/>
      <w:b/>
      <w:bCs/>
      <w:sz w:val="24"/>
      <w:szCs w:val="24"/>
    </w:rPr>
  </w:style>
  <w:style w:type="paragraph" w:styleId="770">
    <w:name w:val="Heading 6"/>
    <w:basedOn w:val="927"/>
    <w:next w:val="927"/>
    <w:link w:val="7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71">
    <w:name w:val="Heading 6 Char"/>
    <w:basedOn w:val="934"/>
    <w:link w:val="770"/>
    <w:uiPriority w:val="9"/>
    <w:rPr>
      <w:rFonts w:ascii="Arial" w:hAnsi="Arial" w:eastAsia="Arial" w:cs="Arial"/>
      <w:b/>
      <w:bCs/>
      <w:sz w:val="22"/>
      <w:szCs w:val="22"/>
    </w:rPr>
  </w:style>
  <w:style w:type="character" w:styleId="772">
    <w:name w:val="Heading 7 Char"/>
    <w:basedOn w:val="934"/>
    <w:link w:val="93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73">
    <w:name w:val="Heading 8"/>
    <w:basedOn w:val="927"/>
    <w:next w:val="927"/>
    <w:link w:val="77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74">
    <w:name w:val="Heading 8 Char"/>
    <w:basedOn w:val="934"/>
    <w:link w:val="773"/>
    <w:uiPriority w:val="9"/>
    <w:rPr>
      <w:rFonts w:ascii="Arial" w:hAnsi="Arial" w:eastAsia="Arial" w:cs="Arial"/>
      <w:i/>
      <w:iCs/>
      <w:sz w:val="22"/>
      <w:szCs w:val="22"/>
    </w:rPr>
  </w:style>
  <w:style w:type="paragraph" w:styleId="775">
    <w:name w:val="Heading 9"/>
    <w:basedOn w:val="927"/>
    <w:next w:val="927"/>
    <w:link w:val="77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6">
    <w:name w:val="Heading 9 Char"/>
    <w:basedOn w:val="934"/>
    <w:link w:val="775"/>
    <w:uiPriority w:val="9"/>
    <w:rPr>
      <w:rFonts w:ascii="Arial" w:hAnsi="Arial" w:eastAsia="Arial" w:cs="Arial"/>
      <w:i/>
      <w:iCs/>
      <w:sz w:val="21"/>
      <w:szCs w:val="21"/>
    </w:rPr>
  </w:style>
  <w:style w:type="character" w:styleId="777">
    <w:name w:val="Title Char"/>
    <w:basedOn w:val="934"/>
    <w:link w:val="953"/>
    <w:uiPriority w:val="10"/>
    <w:rPr>
      <w:sz w:val="48"/>
      <w:szCs w:val="48"/>
    </w:rPr>
  </w:style>
  <w:style w:type="paragraph" w:styleId="778">
    <w:name w:val="Subtitle"/>
    <w:basedOn w:val="927"/>
    <w:next w:val="927"/>
    <w:link w:val="779"/>
    <w:uiPriority w:val="11"/>
    <w:qFormat/>
    <w:pPr>
      <w:spacing w:before="200" w:after="200"/>
    </w:pPr>
    <w:rPr>
      <w:sz w:val="24"/>
      <w:szCs w:val="24"/>
    </w:rPr>
  </w:style>
  <w:style w:type="character" w:styleId="779">
    <w:name w:val="Subtitle Char"/>
    <w:basedOn w:val="934"/>
    <w:link w:val="778"/>
    <w:uiPriority w:val="11"/>
    <w:rPr>
      <w:sz w:val="24"/>
      <w:szCs w:val="24"/>
    </w:rPr>
  </w:style>
  <w:style w:type="paragraph" w:styleId="780">
    <w:name w:val="Quote"/>
    <w:basedOn w:val="927"/>
    <w:next w:val="927"/>
    <w:link w:val="781"/>
    <w:uiPriority w:val="29"/>
    <w:qFormat/>
    <w:pPr>
      <w:ind w:left="720" w:right="720"/>
    </w:pPr>
    <w:rPr>
      <w:i/>
    </w:rPr>
  </w:style>
  <w:style w:type="character" w:styleId="781">
    <w:name w:val="Quote Char"/>
    <w:link w:val="780"/>
    <w:uiPriority w:val="29"/>
    <w:rPr>
      <w:i/>
    </w:rPr>
  </w:style>
  <w:style w:type="paragraph" w:styleId="782">
    <w:name w:val="Intense Quote"/>
    <w:basedOn w:val="927"/>
    <w:next w:val="927"/>
    <w:link w:val="7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3">
    <w:name w:val="Intense Quote Char"/>
    <w:link w:val="782"/>
    <w:uiPriority w:val="30"/>
    <w:rPr>
      <w:i/>
    </w:rPr>
  </w:style>
  <w:style w:type="character" w:styleId="784">
    <w:name w:val="Header Char"/>
    <w:basedOn w:val="934"/>
    <w:link w:val="959"/>
    <w:uiPriority w:val="99"/>
  </w:style>
  <w:style w:type="character" w:styleId="785">
    <w:name w:val="Footer Char"/>
    <w:basedOn w:val="934"/>
    <w:link w:val="961"/>
    <w:uiPriority w:val="99"/>
  </w:style>
  <w:style w:type="paragraph" w:styleId="786">
    <w:name w:val="Caption"/>
    <w:basedOn w:val="927"/>
    <w:next w:val="927"/>
    <w:link w:val="7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7">
    <w:name w:val="Caption Char"/>
    <w:basedOn w:val="786"/>
    <w:link w:val="961"/>
    <w:uiPriority w:val="99"/>
  </w:style>
  <w:style w:type="table" w:styleId="788">
    <w:name w:val="Table Grid Light"/>
    <w:basedOn w:val="9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9">
    <w:name w:val="Plain Table 1"/>
    <w:basedOn w:val="9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0">
    <w:name w:val="Plain Table 2"/>
    <w:basedOn w:val="93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1">
    <w:name w:val="Plain Table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2">
    <w:name w:val="Plain Table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Plain Table 5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4">
    <w:name w:val="Grid Table 1 Light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Grid Table 1 Light - Accent 1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Grid Table 1 Light - Accent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Grid Table 1 Light - Accent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Grid Table 1 Light - Accent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Grid Table 1 Light - Accent 5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Grid Table 1 Light - Accent 6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Grid Table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2 - Accent 1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2 - Accent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2 - Accent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2 - Accent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2 - Accent 5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2 - Accent 6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3 - Accent 1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3 - Accent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3 - Accent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3 - Accent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3 - Accent 5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3 - Accent 6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4"/>
    <w:basedOn w:val="9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6">
    <w:name w:val="Grid Table 4 - Accent 1"/>
    <w:basedOn w:val="9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17">
    <w:name w:val="Grid Table 4 - Accent 2"/>
    <w:basedOn w:val="9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8">
    <w:name w:val="Grid Table 4 - Accent 3"/>
    <w:basedOn w:val="9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9">
    <w:name w:val="Grid Table 4 - Accent 4"/>
    <w:basedOn w:val="9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0">
    <w:name w:val="Grid Table 4 - Accent 5"/>
    <w:basedOn w:val="9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1">
    <w:name w:val="Grid Table 4 - Accent 6"/>
    <w:basedOn w:val="9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2">
    <w:name w:val="Grid Table 5 Dark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3">
    <w:name w:val="Grid Table 5 Dark- Accent 1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24">
    <w:name w:val="Grid Table 5 Dark - Accent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25">
    <w:name w:val="Grid Table 5 Dark - Accent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26">
    <w:name w:val="Grid Table 5 Dark- Accent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27">
    <w:name w:val="Grid Table 5 Dark - Accent 5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28">
    <w:name w:val="Grid Table 5 Dark - Accent 6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29">
    <w:name w:val="Grid Table 6 Colorful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30">
    <w:name w:val="Grid Table 6 Colorful - Accent 1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1">
    <w:name w:val="Grid Table 6 Colorful - Accent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2">
    <w:name w:val="Grid Table 6 Colorful - Accent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3">
    <w:name w:val="Grid Table 6 Colorful - Accent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34">
    <w:name w:val="Grid Table 6 Colorful - Accent 5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5">
    <w:name w:val="Grid Table 6 Colorful - Accent 6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6">
    <w:name w:val="Grid Table 7 Colorful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7 Colorful - Accent 1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7 Colorful - Accent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7 Colorful - Accent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7 Colorful - Accent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7 Colorful - Accent 5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7 Colorful - Accent 6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List Table 1 Light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List Table 1 Light - Accent 1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List Table 1 Light - Accent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List Table 1 Light - Accent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List Table 1 Light - Accent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List Table 1 Light - Accent 5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List Table 1 Light - Accent 6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List Table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51">
    <w:name w:val="List Table 2 - Accent 1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52">
    <w:name w:val="List Table 2 - Accent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53">
    <w:name w:val="List Table 2 - Accent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54">
    <w:name w:val="List Table 2 - Accent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55">
    <w:name w:val="List Table 2 - Accent 5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56">
    <w:name w:val="List Table 2 - Accent 6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57">
    <w:name w:val="List Table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3 - Accent 1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3 - Accent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3 - Accent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3 - Accent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3 - Accent 5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3 - Accent 6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4 - Accent 1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4 - Accent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4 - Accent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4 - Accent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4 - Accent 5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4 - Accent 6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5 Dark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2">
    <w:name w:val="List Table 5 Dark - Accent 1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3">
    <w:name w:val="List Table 5 Dark - Accent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4">
    <w:name w:val="List Table 5 Dark - Accent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5">
    <w:name w:val="List Table 5 Dark - Accent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6">
    <w:name w:val="List Table 5 Dark - Accent 5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7">
    <w:name w:val="List Table 5 Dark - Accent 6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8">
    <w:name w:val="List Table 6 Colorful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9">
    <w:name w:val="List Table 6 Colorful - Accent 1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80">
    <w:name w:val="List Table 6 Colorful - Accent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81">
    <w:name w:val="List Table 6 Colorful - Accent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82">
    <w:name w:val="List Table 6 Colorful - Accent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83">
    <w:name w:val="List Table 6 Colorful - Accent 5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84">
    <w:name w:val="List Table 6 Colorful - Accent 6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85">
    <w:name w:val="List Table 7 Colorful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86">
    <w:name w:val="List Table 7 Colorful - Accent 1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87">
    <w:name w:val="List Table 7 Colorful - Accent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88">
    <w:name w:val="List Table 7 Colorful - Accent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89">
    <w:name w:val="List Table 7 Colorful - Accent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90">
    <w:name w:val="List Table 7 Colorful - Accent 5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91">
    <w:name w:val="List Table 7 Colorful - Accent 6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92">
    <w:name w:val="Lined - Accent"/>
    <w:basedOn w:val="9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3">
    <w:name w:val="Lined - Accent 1"/>
    <w:basedOn w:val="9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4">
    <w:name w:val="Lined - Accent 2"/>
    <w:basedOn w:val="9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5">
    <w:name w:val="Lined - Accent 3"/>
    <w:basedOn w:val="9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6">
    <w:name w:val="Lined - Accent 4"/>
    <w:basedOn w:val="9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7">
    <w:name w:val="Lined - Accent 5"/>
    <w:basedOn w:val="9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8">
    <w:name w:val="Lined - Accent 6"/>
    <w:basedOn w:val="9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9">
    <w:name w:val="Bordered &amp; Lined - Accent"/>
    <w:basedOn w:val="9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0">
    <w:name w:val="Bordered &amp; Lined - Accent 1"/>
    <w:basedOn w:val="9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1">
    <w:name w:val="Bordered &amp; Lined - Accent 2"/>
    <w:basedOn w:val="9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2">
    <w:name w:val="Bordered &amp; Lined - Accent 3"/>
    <w:basedOn w:val="9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3">
    <w:name w:val="Bordered &amp; Lined - Accent 4"/>
    <w:basedOn w:val="9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4">
    <w:name w:val="Bordered &amp; Lined - Accent 5"/>
    <w:basedOn w:val="9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5">
    <w:name w:val="Bordered &amp; Lined - Accent 6"/>
    <w:basedOn w:val="9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6">
    <w:name w:val="Bordered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07">
    <w:name w:val="Bordered - Accent 1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8">
    <w:name w:val="Bordered - Accent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9">
    <w:name w:val="Bordered - Accent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10">
    <w:name w:val="Bordered - Accent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11">
    <w:name w:val="Bordered - Accent 5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12">
    <w:name w:val="Bordered - Accent 6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13">
    <w:name w:val="Footnote Text Char"/>
    <w:link w:val="978"/>
    <w:uiPriority w:val="99"/>
    <w:rPr>
      <w:sz w:val="18"/>
    </w:rPr>
  </w:style>
  <w:style w:type="character" w:styleId="914">
    <w:name w:val="Endnote Text Char"/>
    <w:link w:val="995"/>
    <w:uiPriority w:val="99"/>
    <w:rPr>
      <w:sz w:val="20"/>
    </w:rPr>
  </w:style>
  <w:style w:type="character" w:styleId="915">
    <w:name w:val="endnote reference"/>
    <w:basedOn w:val="934"/>
    <w:uiPriority w:val="99"/>
    <w:semiHidden/>
    <w:unhideWhenUsed/>
    <w:rPr>
      <w:vertAlign w:val="superscript"/>
    </w:rPr>
  </w:style>
  <w:style w:type="paragraph" w:styleId="916">
    <w:name w:val="toc 1"/>
    <w:basedOn w:val="927"/>
    <w:next w:val="927"/>
    <w:uiPriority w:val="39"/>
    <w:unhideWhenUsed/>
    <w:pPr>
      <w:ind w:left="0" w:right="0" w:firstLine="0"/>
      <w:spacing w:after="57"/>
    </w:pPr>
  </w:style>
  <w:style w:type="paragraph" w:styleId="917">
    <w:name w:val="toc 2"/>
    <w:basedOn w:val="927"/>
    <w:next w:val="927"/>
    <w:uiPriority w:val="39"/>
    <w:unhideWhenUsed/>
    <w:pPr>
      <w:ind w:left="283" w:right="0" w:firstLine="0"/>
      <w:spacing w:after="57"/>
    </w:pPr>
  </w:style>
  <w:style w:type="paragraph" w:styleId="918">
    <w:name w:val="toc 3"/>
    <w:basedOn w:val="927"/>
    <w:next w:val="927"/>
    <w:uiPriority w:val="39"/>
    <w:unhideWhenUsed/>
    <w:pPr>
      <w:ind w:left="567" w:right="0" w:firstLine="0"/>
      <w:spacing w:after="57"/>
    </w:pPr>
  </w:style>
  <w:style w:type="paragraph" w:styleId="919">
    <w:name w:val="toc 4"/>
    <w:basedOn w:val="927"/>
    <w:next w:val="927"/>
    <w:uiPriority w:val="39"/>
    <w:unhideWhenUsed/>
    <w:pPr>
      <w:ind w:left="850" w:right="0" w:firstLine="0"/>
      <w:spacing w:after="57"/>
    </w:pPr>
  </w:style>
  <w:style w:type="paragraph" w:styleId="920">
    <w:name w:val="toc 5"/>
    <w:basedOn w:val="927"/>
    <w:next w:val="927"/>
    <w:uiPriority w:val="39"/>
    <w:unhideWhenUsed/>
    <w:pPr>
      <w:ind w:left="1134" w:right="0" w:firstLine="0"/>
      <w:spacing w:after="57"/>
    </w:pPr>
  </w:style>
  <w:style w:type="paragraph" w:styleId="921">
    <w:name w:val="toc 6"/>
    <w:basedOn w:val="927"/>
    <w:next w:val="927"/>
    <w:uiPriority w:val="39"/>
    <w:unhideWhenUsed/>
    <w:pPr>
      <w:ind w:left="1417" w:right="0" w:firstLine="0"/>
      <w:spacing w:after="57"/>
    </w:pPr>
  </w:style>
  <w:style w:type="paragraph" w:styleId="922">
    <w:name w:val="toc 7"/>
    <w:basedOn w:val="927"/>
    <w:next w:val="927"/>
    <w:uiPriority w:val="39"/>
    <w:unhideWhenUsed/>
    <w:pPr>
      <w:ind w:left="1701" w:right="0" w:firstLine="0"/>
      <w:spacing w:after="57"/>
    </w:pPr>
  </w:style>
  <w:style w:type="paragraph" w:styleId="923">
    <w:name w:val="toc 8"/>
    <w:basedOn w:val="927"/>
    <w:next w:val="927"/>
    <w:uiPriority w:val="39"/>
    <w:unhideWhenUsed/>
    <w:pPr>
      <w:ind w:left="1984" w:right="0" w:firstLine="0"/>
      <w:spacing w:after="57"/>
    </w:pPr>
  </w:style>
  <w:style w:type="paragraph" w:styleId="924">
    <w:name w:val="toc 9"/>
    <w:basedOn w:val="927"/>
    <w:next w:val="927"/>
    <w:uiPriority w:val="39"/>
    <w:unhideWhenUsed/>
    <w:pPr>
      <w:ind w:left="2268" w:right="0" w:firstLine="0"/>
      <w:spacing w:after="57"/>
    </w:pPr>
  </w:style>
  <w:style w:type="paragraph" w:styleId="925">
    <w:name w:val="TOC Heading"/>
    <w:uiPriority w:val="39"/>
    <w:unhideWhenUsed/>
  </w:style>
  <w:style w:type="paragraph" w:styleId="926">
    <w:name w:val="table of figures"/>
    <w:basedOn w:val="927"/>
    <w:next w:val="927"/>
    <w:uiPriority w:val="99"/>
    <w:unhideWhenUsed/>
    <w:pPr>
      <w:spacing w:after="0" w:afterAutospacing="0"/>
    </w:pPr>
  </w:style>
  <w:style w:type="paragraph" w:styleId="927" w:default="1">
    <w:name w:val="Normal"/>
    <w:qFormat/>
    <w:rPr>
      <w:rFonts w:ascii="Times New Roman" w:hAnsi="Times New Roman" w:eastAsia="Times New Roman"/>
    </w:rPr>
  </w:style>
  <w:style w:type="paragraph" w:styleId="928">
    <w:name w:val="Heading 1"/>
    <w:basedOn w:val="927"/>
    <w:next w:val="927"/>
    <w:link w:val="937"/>
    <w:qFormat/>
    <w:pPr>
      <w:keepNext/>
      <w:outlineLvl w:val="0"/>
    </w:pPr>
    <w:rPr>
      <w:sz w:val="28"/>
      <w:szCs w:val="24"/>
    </w:rPr>
  </w:style>
  <w:style w:type="paragraph" w:styleId="929">
    <w:name w:val="Heading 2"/>
    <w:basedOn w:val="927"/>
    <w:next w:val="927"/>
    <w:link w:val="938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930">
    <w:name w:val="Heading 3"/>
    <w:basedOn w:val="927"/>
    <w:next w:val="927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931">
    <w:name w:val="Heading 4"/>
    <w:basedOn w:val="927"/>
    <w:next w:val="927"/>
    <w:qFormat/>
    <w:pPr>
      <w:keepNext/>
      <w:outlineLvl w:val="3"/>
    </w:pPr>
    <w:rPr>
      <w:b/>
      <w:bCs/>
      <w:sz w:val="28"/>
      <w:szCs w:val="24"/>
    </w:rPr>
  </w:style>
  <w:style w:type="paragraph" w:styleId="932">
    <w:name w:val="Heading 5"/>
    <w:basedOn w:val="927"/>
    <w:next w:val="927"/>
    <w:qFormat/>
    <w:pPr>
      <w:jc w:val="center"/>
      <w:keepNext/>
      <w:outlineLvl w:val="4"/>
    </w:pPr>
    <w:rPr>
      <w:i/>
      <w:sz w:val="24"/>
      <w:szCs w:val="24"/>
    </w:rPr>
  </w:style>
  <w:style w:type="paragraph" w:styleId="933">
    <w:name w:val="Heading 7"/>
    <w:basedOn w:val="927"/>
    <w:next w:val="927"/>
    <w:qFormat/>
    <w:pPr>
      <w:spacing w:before="240" w:after="60"/>
      <w:outlineLvl w:val="6"/>
    </w:pPr>
    <w:rPr>
      <w:sz w:val="24"/>
      <w:szCs w:val="24"/>
    </w:rPr>
  </w:style>
  <w:style w:type="character" w:styleId="934" w:default="1">
    <w:name w:val="Default Paragraph Font"/>
    <w:uiPriority w:val="1"/>
    <w:semiHidden/>
    <w:unhideWhenUsed/>
  </w:style>
  <w:style w:type="table" w:styleId="93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36" w:default="1">
    <w:name w:val="No List"/>
    <w:uiPriority w:val="99"/>
    <w:semiHidden/>
    <w:unhideWhenUsed/>
  </w:style>
  <w:style w:type="character" w:styleId="937" w:customStyle="1">
    <w:name w:val="Заголовок 1 Знак"/>
    <w:link w:val="928"/>
    <w:rPr>
      <w:rFonts w:ascii="Times New Roman" w:hAnsi="Times New Roman" w:eastAsia="Times New Roman"/>
      <w:sz w:val="28"/>
      <w:szCs w:val="24"/>
    </w:rPr>
  </w:style>
  <w:style w:type="character" w:styleId="938" w:customStyle="1">
    <w:name w:val="Заголовок 2 Знак"/>
    <w:link w:val="92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939">
    <w:name w:val="Balloon Text"/>
    <w:basedOn w:val="927"/>
    <w:link w:val="940"/>
    <w:uiPriority w:val="99"/>
    <w:semiHidden/>
    <w:unhideWhenUsed/>
    <w:rPr>
      <w:rFonts w:ascii="Tahoma" w:hAnsi="Tahoma" w:cs="Tahoma"/>
      <w:sz w:val="16"/>
      <w:szCs w:val="16"/>
    </w:rPr>
  </w:style>
  <w:style w:type="character" w:styleId="940" w:customStyle="1">
    <w:name w:val="Текст выноски Знак"/>
    <w:link w:val="939"/>
    <w:uiPriority w:val="99"/>
    <w:semiHidden/>
    <w:rPr>
      <w:rFonts w:ascii="Tahoma" w:hAnsi="Tahoma" w:cs="Tahoma"/>
      <w:sz w:val="16"/>
      <w:szCs w:val="16"/>
    </w:rPr>
  </w:style>
  <w:style w:type="paragraph" w:styleId="941">
    <w:name w:val="E-mail Signature"/>
    <w:basedOn w:val="927"/>
    <w:link w:val="942"/>
    <w:uiPriority w:val="99"/>
    <w:semiHidden/>
    <w:unhideWhenUsed/>
    <w:rPr>
      <w:rFonts w:ascii="Calibri" w:hAnsi="Calibri"/>
      <w:sz w:val="22"/>
      <w:szCs w:val="22"/>
    </w:rPr>
  </w:style>
  <w:style w:type="character" w:styleId="942" w:customStyle="1">
    <w:name w:val="Электронная подпись Знак"/>
    <w:link w:val="941"/>
    <w:uiPriority w:val="99"/>
    <w:semiHidden/>
    <w:rPr>
      <w:rFonts w:ascii="Calibri" w:hAnsi="Calibri" w:eastAsia="Times New Roman" w:cs="Times New Roman"/>
      <w:lang w:eastAsia="ru-RU"/>
    </w:rPr>
  </w:style>
  <w:style w:type="paragraph" w:styleId="943" w:customStyle="1">
    <w:name w:val="Знак"/>
    <w:basedOn w:val="927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944">
    <w:name w:val="Table Grid"/>
    <w:basedOn w:val="93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45">
    <w:name w:val="Body Text Indent"/>
    <w:basedOn w:val="927"/>
    <w:pPr>
      <w:ind w:left="283"/>
      <w:spacing w:after="120"/>
    </w:pPr>
    <w:rPr>
      <w:sz w:val="24"/>
      <w:szCs w:val="24"/>
    </w:rPr>
  </w:style>
  <w:style w:type="paragraph" w:styleId="946" w:customStyle="1">
    <w:name w:val="ConsPlusNormal"/>
    <w:uiPriority w:val="99"/>
    <w:pPr>
      <w:ind w:firstLine="720"/>
      <w:widowControl w:val="off"/>
    </w:pPr>
    <w:rPr>
      <w:rFonts w:ascii="Arial" w:hAnsi="Arial" w:eastAsia="Times New Roman" w:cs="Arial"/>
    </w:rPr>
  </w:style>
  <w:style w:type="paragraph" w:styleId="947">
    <w:name w:val="List Paragraph"/>
    <w:basedOn w:val="927"/>
    <w:link w:val="948"/>
    <w:uiPriority w:val="34"/>
    <w:qFormat/>
    <w:pPr>
      <w:contextualSpacing/>
      <w:ind w:left="720"/>
      <w:spacing w:after="200" w:line="276" w:lineRule="auto"/>
    </w:pPr>
    <w:rPr>
      <w:rFonts w:ascii="Calibri" w:hAnsi="Calibri"/>
      <w:sz w:val="22"/>
      <w:szCs w:val="22"/>
    </w:rPr>
  </w:style>
  <w:style w:type="character" w:styleId="948" w:customStyle="1">
    <w:name w:val="Абзац списка Знак"/>
    <w:link w:val="947"/>
    <w:uiPriority w:val="34"/>
    <w:rPr>
      <w:rFonts w:eastAsia="Times New Roman"/>
      <w:sz w:val="22"/>
      <w:szCs w:val="22"/>
    </w:rPr>
  </w:style>
  <w:style w:type="paragraph" w:styleId="949">
    <w:name w:val="Body Text"/>
    <w:basedOn w:val="927"/>
    <w:link w:val="950"/>
    <w:uiPriority w:val="99"/>
    <w:pPr>
      <w:spacing w:after="120"/>
    </w:pPr>
  </w:style>
  <w:style w:type="character" w:styleId="950" w:customStyle="1">
    <w:name w:val="Основной текст Знак"/>
    <w:link w:val="949"/>
    <w:uiPriority w:val="99"/>
    <w:rPr>
      <w:rFonts w:ascii="Times New Roman" w:hAnsi="Times New Roman" w:eastAsia="Times New Roman"/>
    </w:rPr>
  </w:style>
  <w:style w:type="character" w:styleId="951">
    <w:name w:val="Hyperlink"/>
    <w:unhideWhenUsed/>
    <w:rPr>
      <w:color w:val="0000ff"/>
      <w:u w:val="single"/>
    </w:rPr>
  </w:style>
  <w:style w:type="character" w:styleId="952">
    <w:name w:val="FollowedHyperlink"/>
    <w:uiPriority w:val="99"/>
    <w:rPr>
      <w:color w:val="800080"/>
      <w:u w:val="single"/>
    </w:rPr>
  </w:style>
  <w:style w:type="paragraph" w:styleId="953">
    <w:name w:val="Title"/>
    <w:basedOn w:val="927"/>
    <w:qFormat/>
    <w:pPr>
      <w:jc w:val="center"/>
    </w:pPr>
    <w:rPr>
      <w:b/>
      <w:sz w:val="24"/>
      <w:szCs w:val="24"/>
    </w:rPr>
  </w:style>
  <w:style w:type="paragraph" w:styleId="954">
    <w:name w:val="Body Text Indent 2"/>
    <w:basedOn w:val="927"/>
    <w:pPr>
      <w:ind w:left="708"/>
      <w:jc w:val="both"/>
    </w:pPr>
    <w:rPr>
      <w:sz w:val="28"/>
      <w:szCs w:val="24"/>
    </w:rPr>
  </w:style>
  <w:style w:type="paragraph" w:styleId="955">
    <w:name w:val="Body Text Indent 3"/>
    <w:basedOn w:val="927"/>
    <w:pPr>
      <w:ind w:left="708" w:firstLine="709"/>
      <w:jc w:val="both"/>
    </w:pPr>
    <w:rPr>
      <w:sz w:val="28"/>
      <w:szCs w:val="24"/>
    </w:rPr>
  </w:style>
  <w:style w:type="paragraph" w:styleId="956">
    <w:name w:val="Body Text 2"/>
    <w:basedOn w:val="927"/>
    <w:pPr>
      <w:jc w:val="center"/>
    </w:pPr>
    <w:rPr>
      <w:bCs/>
      <w:sz w:val="28"/>
      <w:szCs w:val="24"/>
    </w:rPr>
  </w:style>
  <w:style w:type="character" w:styleId="957" w:customStyle="1">
    <w:name w:val="Заголовок 7 Знак"/>
    <w:rPr>
      <w:sz w:val="24"/>
      <w:szCs w:val="24"/>
    </w:rPr>
  </w:style>
  <w:style w:type="paragraph" w:styleId="958">
    <w:name w:val="Body Text 3"/>
    <w:basedOn w:val="927"/>
    <w:rPr>
      <w:sz w:val="24"/>
    </w:rPr>
  </w:style>
  <w:style w:type="paragraph" w:styleId="959">
    <w:name w:val="Header"/>
    <w:basedOn w:val="927"/>
    <w:link w:val="960"/>
    <w:uiPriority w:val="99"/>
    <w:pPr>
      <w:tabs>
        <w:tab w:val="center" w:pos="4677" w:leader="none"/>
        <w:tab w:val="right" w:pos="9355" w:leader="none"/>
      </w:tabs>
    </w:pPr>
    <w:rPr>
      <w:sz w:val="28"/>
      <w:szCs w:val="24"/>
    </w:rPr>
  </w:style>
  <w:style w:type="character" w:styleId="960" w:customStyle="1">
    <w:name w:val="Верхний колонтитул Знак"/>
    <w:basedOn w:val="934"/>
    <w:link w:val="959"/>
    <w:uiPriority w:val="99"/>
    <w:rPr>
      <w:rFonts w:ascii="Times New Roman" w:hAnsi="Times New Roman" w:eastAsia="Times New Roman"/>
      <w:sz w:val="28"/>
      <w:szCs w:val="24"/>
    </w:rPr>
  </w:style>
  <w:style w:type="paragraph" w:styleId="961">
    <w:name w:val="Footer"/>
    <w:basedOn w:val="927"/>
    <w:link w:val="962"/>
    <w:uiPriority w:val="99"/>
    <w:pPr>
      <w:tabs>
        <w:tab w:val="center" w:pos="4677" w:leader="none"/>
        <w:tab w:val="right" w:pos="9355" w:leader="none"/>
      </w:tabs>
    </w:pPr>
    <w:rPr>
      <w:sz w:val="28"/>
      <w:szCs w:val="24"/>
    </w:rPr>
  </w:style>
  <w:style w:type="character" w:styleId="962" w:customStyle="1">
    <w:name w:val="Нижний колонтитул Знак"/>
    <w:basedOn w:val="934"/>
    <w:link w:val="961"/>
    <w:uiPriority w:val="99"/>
    <w:rPr>
      <w:rFonts w:ascii="Times New Roman" w:hAnsi="Times New Roman" w:eastAsia="Times New Roman"/>
      <w:sz w:val="28"/>
      <w:szCs w:val="24"/>
    </w:rPr>
  </w:style>
  <w:style w:type="paragraph" w:styleId="963" w:customStyle="1">
    <w:name w:val="Знак1 Знак Знак Знак Знак Знак Знак"/>
    <w:basedOn w:val="927"/>
    <w:pPr>
      <w:spacing w:after="160" w:line="240" w:lineRule="exact"/>
    </w:pPr>
    <w:rPr>
      <w:rFonts w:ascii="Verdana" w:hAnsi="Verdana"/>
      <w:lang w:val="en-US" w:eastAsia="en-US"/>
    </w:rPr>
  </w:style>
  <w:style w:type="paragraph" w:styleId="964" w:customStyle="1">
    <w:name w:val="Знак1"/>
    <w:basedOn w:val="927"/>
    <w:pPr>
      <w:spacing w:after="160" w:line="240" w:lineRule="exact"/>
    </w:pPr>
    <w:rPr>
      <w:rFonts w:ascii="Verdana" w:hAnsi="Verdana"/>
      <w:lang w:val="en-US" w:eastAsia="en-US"/>
    </w:rPr>
  </w:style>
  <w:style w:type="paragraph" w:styleId="965" w:customStyle="1">
    <w:name w:val="Знак"/>
    <w:basedOn w:val="927"/>
    <w:uiPriority w:val="99"/>
    <w:pPr>
      <w:spacing w:after="160" w:line="240" w:lineRule="exact"/>
    </w:pPr>
    <w:rPr>
      <w:rFonts w:ascii="Verdana" w:hAnsi="Verdana"/>
      <w:lang w:val="en-US" w:eastAsia="en-US"/>
    </w:rPr>
  </w:style>
  <w:style w:type="paragraph" w:styleId="966">
    <w:name w:val="Plain Text"/>
    <w:basedOn w:val="927"/>
    <w:link w:val="967"/>
    <w:uiPriority w:val="99"/>
    <w:rPr>
      <w:rFonts w:ascii="Courier New" w:hAnsi="Courier New" w:cs="Courier New"/>
    </w:rPr>
  </w:style>
  <w:style w:type="character" w:styleId="967" w:customStyle="1">
    <w:name w:val="Текст Знак"/>
    <w:link w:val="966"/>
    <w:uiPriority w:val="99"/>
    <w:rPr>
      <w:rFonts w:ascii="Courier New" w:hAnsi="Courier New" w:cs="Courier New"/>
      <w:lang w:val="ru-RU" w:eastAsia="ru-RU" w:bidi="ar-SA"/>
    </w:rPr>
  </w:style>
  <w:style w:type="paragraph" w:styleId="968">
    <w:name w:val="Normal (Web)"/>
    <w:basedOn w:val="927"/>
    <w:uiPriority w:val="99"/>
    <w:pPr>
      <w:ind w:firstLine="75"/>
      <w:spacing w:before="75" w:after="75"/>
    </w:pPr>
    <w:rPr>
      <w:rFonts w:ascii="Arial" w:hAnsi="Arial" w:cs="Arial"/>
      <w:sz w:val="24"/>
      <w:szCs w:val="24"/>
    </w:rPr>
  </w:style>
  <w:style w:type="character" w:styleId="969">
    <w:name w:val="page number"/>
    <w:basedOn w:val="934"/>
  </w:style>
  <w:style w:type="paragraph" w:styleId="970" w:customStyle="1">
    <w:name w:val="Основной текст 21"/>
    <w:basedOn w:val="927"/>
    <w:pPr>
      <w:ind w:firstLine="360"/>
      <w:jc w:val="both"/>
    </w:pPr>
    <w:rPr>
      <w:sz w:val="24"/>
    </w:rPr>
  </w:style>
  <w:style w:type="paragraph" w:styleId="971" w:customStyle="1">
    <w:name w:val="Знак Знак Знак Знак Знак Знак Знак Знак Знак Знак"/>
    <w:basedOn w:val="927"/>
    <w:pPr>
      <w:spacing w:after="160" w:line="240" w:lineRule="exact"/>
    </w:pPr>
    <w:rPr>
      <w:rFonts w:ascii="Verdana" w:hAnsi="Verdana"/>
      <w:lang w:val="en-US" w:eastAsia="en-US"/>
    </w:rPr>
  </w:style>
  <w:style w:type="paragraph" w:styleId="972" w:customStyle="1">
    <w:name w:val="Знак Знак Знак Знак"/>
    <w:basedOn w:val="927"/>
    <w:uiPriority w:val="99"/>
    <w:pPr>
      <w:spacing w:after="160" w:line="240" w:lineRule="exact"/>
    </w:pPr>
    <w:rPr>
      <w:rFonts w:ascii="Verdana" w:hAnsi="Verdana"/>
      <w:lang w:val="en-US" w:eastAsia="en-US"/>
    </w:rPr>
  </w:style>
  <w:style w:type="paragraph" w:styleId="973" w:customStyle="1">
    <w:name w:val="ConsPlusTitle"/>
    <w:uiPriority w:val="99"/>
    <w:rPr>
      <w:rFonts w:ascii="Times New Roman" w:hAnsi="Times New Roman" w:eastAsia="Times New Roman"/>
      <w:b/>
      <w:bCs/>
      <w:sz w:val="28"/>
      <w:szCs w:val="28"/>
    </w:rPr>
  </w:style>
  <w:style w:type="character" w:styleId="974" w:customStyle="1">
    <w:name w:val="zagolovok"/>
    <w:basedOn w:val="934"/>
  </w:style>
  <w:style w:type="paragraph" w:styleId="975" w:customStyle="1">
    <w:name w:val="Char Char Char"/>
    <w:basedOn w:val="927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976" w:customStyle="1">
    <w:name w:val="Font Style26"/>
    <w:rPr>
      <w:rFonts w:ascii="Times New Roman" w:hAnsi="Times New Roman" w:cs="Times New Roman"/>
      <w:sz w:val="24"/>
      <w:szCs w:val="24"/>
    </w:rPr>
  </w:style>
  <w:style w:type="character" w:styleId="977" w:customStyle="1">
    <w:name w:val="Гипертекстовая ссылка"/>
    <w:uiPriority w:val="99"/>
    <w:rPr>
      <w:b/>
      <w:bCs/>
      <w:color w:val="106bbe"/>
    </w:rPr>
  </w:style>
  <w:style w:type="paragraph" w:styleId="978">
    <w:name w:val="footnote text"/>
    <w:basedOn w:val="927"/>
    <w:link w:val="979"/>
    <w:uiPriority w:val="99"/>
  </w:style>
  <w:style w:type="character" w:styleId="979" w:customStyle="1">
    <w:name w:val="Текст сноски Знак"/>
    <w:basedOn w:val="934"/>
    <w:link w:val="978"/>
    <w:uiPriority w:val="99"/>
    <w:rPr>
      <w:rFonts w:ascii="Times New Roman" w:hAnsi="Times New Roman" w:eastAsia="Times New Roman"/>
    </w:rPr>
  </w:style>
  <w:style w:type="character" w:styleId="980">
    <w:name w:val="footnote reference"/>
    <w:uiPriority w:val="99"/>
    <w:rPr>
      <w:vertAlign w:val="superscript"/>
    </w:rPr>
  </w:style>
  <w:style w:type="paragraph" w:styleId="981" w:customStyle="1">
    <w:name w:val="Standard"/>
    <w:rPr>
      <w:rFonts w:ascii="Arial Unicode MS" w:hAnsi="Arial Unicode MS" w:eastAsia="Arial Unicode MS" w:cs="Arial Unicode MS"/>
      <w:color w:val="000000"/>
      <w:sz w:val="24"/>
      <w:szCs w:val="24"/>
      <w:lang w:eastAsia="en-US"/>
    </w:rPr>
  </w:style>
  <w:style w:type="paragraph" w:styleId="982" w:customStyle="1">
    <w:name w:val="Default"/>
    <w:rPr>
      <w:rFonts w:ascii="Times New Roman" w:hAnsi="Times New Roman"/>
      <w:color w:val="000000"/>
      <w:sz w:val="24"/>
      <w:szCs w:val="24"/>
    </w:rPr>
  </w:style>
  <w:style w:type="character" w:styleId="983" w:customStyle="1">
    <w:name w:val="Основной текст (2)_"/>
    <w:basedOn w:val="934"/>
    <w:link w:val="984"/>
    <w:rPr>
      <w:rFonts w:ascii="Times New Roman" w:hAnsi="Times New Roman" w:eastAsia="Times New Roman"/>
      <w:sz w:val="44"/>
      <w:szCs w:val="44"/>
      <w:shd w:val="clear" w:color="auto" w:fill="ffffff"/>
    </w:rPr>
  </w:style>
  <w:style w:type="paragraph" w:styleId="984" w:customStyle="1">
    <w:name w:val="Основной текст (2)"/>
    <w:basedOn w:val="927"/>
    <w:link w:val="983"/>
    <w:pPr>
      <w:jc w:val="both"/>
      <w:spacing w:before="660" w:after="480" w:line="0" w:lineRule="atLeast"/>
      <w:shd w:val="clear" w:color="auto" w:fill="ffffff"/>
      <w:widowControl w:val="off"/>
    </w:pPr>
    <w:rPr>
      <w:sz w:val="44"/>
      <w:szCs w:val="44"/>
    </w:rPr>
  </w:style>
  <w:style w:type="character" w:styleId="985" w:customStyle="1">
    <w:name w:val="Основной текст (2) + 19 pt"/>
    <w:basedOn w:val="983"/>
    <w:rPr>
      <w:rFonts w:ascii="Times New Roman" w:hAnsi="Times New Roman" w:eastAsia="Times New Roman"/>
      <w:color w:val="000000"/>
      <w:spacing w:val="0"/>
      <w:position w:val="0"/>
      <w:sz w:val="38"/>
      <w:szCs w:val="38"/>
      <w:shd w:val="clear" w:color="auto" w:fill="ffffff"/>
      <w:lang w:val="ru-RU" w:eastAsia="ru-RU" w:bidi="ru-RU"/>
    </w:rPr>
  </w:style>
  <w:style w:type="character" w:styleId="986" w:customStyle="1">
    <w:name w:val="Основной текст (2) + 19 pt;Полужирный"/>
    <w:basedOn w:val="983"/>
    <w:rPr>
      <w:rFonts w:ascii="Times New Roman" w:hAnsi="Times New Roman" w:eastAsia="Times New Roman"/>
      <w:b/>
      <w:bCs/>
      <w:color w:val="000000"/>
      <w:spacing w:val="0"/>
      <w:position w:val="0"/>
      <w:sz w:val="38"/>
      <w:szCs w:val="38"/>
      <w:shd w:val="clear" w:color="auto" w:fill="ffffff"/>
      <w:lang w:val="ru-RU" w:eastAsia="ru-RU" w:bidi="ru-RU"/>
    </w:rPr>
  </w:style>
  <w:style w:type="character" w:styleId="987" w:customStyle="1">
    <w:name w:val="Основной текст (44) + Times New Roman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table" w:styleId="988" w:customStyle="1">
    <w:name w:val="Сетка таблицы11"/>
    <w:basedOn w:val="935"/>
    <w:next w:val="944"/>
    <w:uiPriority w:val="59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89" w:customStyle="1">
    <w:name w:val="Сетка таблицы2"/>
    <w:basedOn w:val="935"/>
    <w:next w:val="944"/>
    <w:uiPriority w:val="59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90" w:customStyle="1">
    <w:name w:val="Сетка таблицы3"/>
    <w:basedOn w:val="935"/>
    <w:next w:val="944"/>
    <w:uiPriority w:val="59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91" w:customStyle="1">
    <w:name w:val="Сетка таблицы4"/>
    <w:basedOn w:val="935"/>
    <w:next w:val="944"/>
    <w:uiPriority w:val="59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92" w:customStyle="1">
    <w:name w:val="Стандартный HTML Знак"/>
    <w:basedOn w:val="934"/>
    <w:link w:val="993"/>
    <w:uiPriority w:val="99"/>
    <w:semiHidden/>
    <w:rPr>
      <w:rFonts w:ascii="Times New Roman" w:hAnsi="Times New Roman" w:eastAsiaTheme="minorEastAsia"/>
      <w:sz w:val="22"/>
      <w:szCs w:val="22"/>
    </w:rPr>
  </w:style>
  <w:style w:type="paragraph" w:styleId="993">
    <w:name w:val="HTML Preformatted"/>
    <w:basedOn w:val="927"/>
    <w:link w:val="992"/>
    <w:uiPriority w:val="99"/>
    <w:semiHidden/>
    <w:unhideWhenUsed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eastAsiaTheme="minorEastAsia"/>
      <w:sz w:val="22"/>
      <w:szCs w:val="22"/>
    </w:rPr>
  </w:style>
  <w:style w:type="character" w:styleId="994" w:customStyle="1">
    <w:name w:val="Текст концевой сноски Знак"/>
    <w:basedOn w:val="934"/>
    <w:link w:val="995"/>
    <w:uiPriority w:val="99"/>
    <w:semiHidden/>
    <w:rPr>
      <w:rFonts w:ascii="Times New Roman" w:hAnsi="Times New Roman" w:eastAsia="Times New Roman"/>
    </w:rPr>
  </w:style>
  <w:style w:type="paragraph" w:styleId="995">
    <w:name w:val="endnote text"/>
    <w:basedOn w:val="927"/>
    <w:link w:val="994"/>
    <w:uiPriority w:val="99"/>
    <w:semiHidden/>
    <w:unhideWhenUsed/>
  </w:style>
  <w:style w:type="paragraph" w:styleId="996">
    <w:name w:val="No Spacing"/>
    <w:uiPriority w:val="1"/>
    <w:qFormat/>
    <w:rPr>
      <w:rFonts w:eastAsia="Times New Roman"/>
      <w:sz w:val="22"/>
      <w:szCs w:val="22"/>
    </w:rPr>
  </w:style>
  <w:style w:type="paragraph" w:styleId="997" w:customStyle="1">
    <w:name w:val="Знак Знак Знак Знак Знак Знак Знак Знак Знак Знак Знак Знак Знак Знак Знак Знак Знак Знак Знак Знак Знак Знак"/>
    <w:basedOn w:val="927"/>
    <w:uiPriority w:val="9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998" w:customStyle="1">
    <w:name w:val="msonormal_mr_css_attr"/>
    <w:basedOn w:val="927"/>
    <w:uiPriority w:val="99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table" w:styleId="999" w:customStyle="1">
    <w:name w:val="Сетка таблицы1"/>
    <w:basedOn w:val="935"/>
    <w:next w:val="944"/>
    <w:uiPriority w:val="39"/>
    <w:rPr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00">
    <w:name w:val="annotation reference"/>
    <w:basedOn w:val="934"/>
    <w:uiPriority w:val="99"/>
    <w:semiHidden/>
    <w:unhideWhenUsed/>
    <w:rPr>
      <w:sz w:val="16"/>
      <w:szCs w:val="16"/>
    </w:rPr>
  </w:style>
  <w:style w:type="paragraph" w:styleId="1001">
    <w:name w:val="annotation text"/>
    <w:basedOn w:val="927"/>
    <w:link w:val="1002"/>
    <w:uiPriority w:val="99"/>
    <w:semiHidden/>
    <w:unhideWhenUsed/>
  </w:style>
  <w:style w:type="character" w:styleId="1002" w:customStyle="1">
    <w:name w:val="Текст примечания Знак"/>
    <w:basedOn w:val="934"/>
    <w:link w:val="1001"/>
    <w:uiPriority w:val="99"/>
    <w:semiHidden/>
    <w:rPr>
      <w:rFonts w:ascii="Times New Roman" w:hAnsi="Times New Roman" w:eastAsia="Times New Roman"/>
    </w:rPr>
  </w:style>
  <w:style w:type="paragraph" w:styleId="1003">
    <w:name w:val="annotation subject"/>
    <w:basedOn w:val="1001"/>
    <w:next w:val="1001"/>
    <w:link w:val="1004"/>
    <w:uiPriority w:val="99"/>
    <w:semiHidden/>
    <w:unhideWhenUsed/>
    <w:rPr>
      <w:b/>
      <w:bCs/>
    </w:rPr>
  </w:style>
  <w:style w:type="character" w:styleId="1004" w:customStyle="1">
    <w:name w:val="Тема примечания Знак"/>
    <w:basedOn w:val="1002"/>
    <w:link w:val="1003"/>
    <w:uiPriority w:val="99"/>
    <w:semiHidden/>
    <w:rPr>
      <w:rFonts w:ascii="Times New Roman" w:hAnsi="Times New Roman" w:eastAsia="Times New Roman"/>
      <w:b/>
      <w:bCs/>
    </w:rPr>
  </w:style>
  <w:style w:type="character" w:styleId="1005" w:customStyle="1">
    <w:name w:val="Основной текст_"/>
    <w:basedOn w:val="934"/>
    <w:link w:val="1006"/>
    <w:rPr>
      <w:rFonts w:ascii="Times New Roman" w:hAnsi="Times New Roman" w:eastAsia="Times New Roman"/>
      <w:sz w:val="26"/>
      <w:szCs w:val="26"/>
      <w:shd w:val="clear" w:color="auto" w:fill="ffffff"/>
    </w:rPr>
  </w:style>
  <w:style w:type="paragraph" w:styleId="1006" w:customStyle="1">
    <w:name w:val="Основной текст1"/>
    <w:basedOn w:val="927"/>
    <w:link w:val="1005"/>
    <w:pPr>
      <w:jc w:val="right"/>
      <w:spacing w:before="420" w:line="322" w:lineRule="exact"/>
      <w:shd w:val="clear" w:color="auto" w:fill="ffffff"/>
      <w:widowControl w:val="off"/>
    </w:pPr>
    <w:rPr>
      <w:sz w:val="26"/>
      <w:szCs w:val="26"/>
    </w:rPr>
  </w:style>
  <w:style w:type="character" w:styleId="1007" w:customStyle="1">
    <w:name w:val="Основной текст + 11;5 pt"/>
    <w:basedOn w:val="1005"/>
    <w:rPr>
      <w:rFonts w:ascii="Times New Roman" w:hAnsi="Times New Roman" w:eastAsia="Times New Roman"/>
      <w:color w:val="000000"/>
      <w:spacing w:val="0"/>
      <w:position w:val="0"/>
      <w:sz w:val="23"/>
      <w:szCs w:val="23"/>
      <w:shd w:val="clear" w:color="auto" w:fill="ffffff"/>
      <w:lang w:val="ru-RU"/>
    </w:rPr>
  </w:style>
  <w:style w:type="character" w:styleId="1008" w:customStyle="1">
    <w:name w:val="Основной текст (3)_"/>
    <w:basedOn w:val="934"/>
    <w:link w:val="1009"/>
    <w:rPr>
      <w:rFonts w:ascii="Times New Roman" w:hAnsi="Times New Roman" w:eastAsia="Times New Roman"/>
      <w:sz w:val="23"/>
      <w:szCs w:val="23"/>
      <w:shd w:val="clear" w:color="auto" w:fill="ffffff"/>
    </w:rPr>
  </w:style>
  <w:style w:type="paragraph" w:styleId="1009" w:customStyle="1">
    <w:name w:val="Основной текст (3)"/>
    <w:basedOn w:val="927"/>
    <w:link w:val="1008"/>
    <w:pPr>
      <w:jc w:val="both"/>
      <w:spacing w:before="420" w:line="0" w:lineRule="atLeast"/>
      <w:shd w:val="clear" w:color="auto" w:fill="ffffff"/>
      <w:widowControl w:val="off"/>
    </w:pPr>
    <w:rPr>
      <w:sz w:val="23"/>
      <w:szCs w:val="23"/>
    </w:rPr>
  </w:style>
  <w:style w:type="character" w:styleId="1010" w:customStyle="1">
    <w:name w:val="Основной текст + 11 pt;Полужирный"/>
    <w:basedOn w:val="1005"/>
    <w:rPr>
      <w:rFonts w:ascii="Times New Roman" w:hAnsi="Times New Roman" w:eastAsia="Times New Roman"/>
      <w:b/>
      <w:bCs/>
      <w:i w:val="0"/>
      <w:iCs w:val="0"/>
      <w:smallCaps w:val="0"/>
      <w:strike w:val="0"/>
      <w:color w:val="000000"/>
      <w:spacing w:val="0"/>
      <w:position w:val="0"/>
      <w:sz w:val="22"/>
      <w:szCs w:val="22"/>
      <w:u w:val="none"/>
      <w:shd w:val="clear" w:color="auto" w:fill="ffffff"/>
      <w:lang w:val="ru-RU"/>
    </w:rPr>
  </w:style>
  <w:style w:type="character" w:styleId="1011" w:customStyle="1">
    <w:name w:val="Основной текст + 11;5 pt;Курсив"/>
    <w:basedOn w:val="1005"/>
    <w:rPr>
      <w:rFonts w:ascii="Times New Roman" w:hAnsi="Times New Roman" w:eastAsia="Times New Roman"/>
      <w:b w:val="0"/>
      <w:bCs w:val="0"/>
      <w:i/>
      <w:iCs/>
      <w:smallCaps w:val="0"/>
      <w:strike w:val="0"/>
      <w:color w:val="000000"/>
      <w:spacing w:val="0"/>
      <w:position w:val="0"/>
      <w:sz w:val="23"/>
      <w:szCs w:val="23"/>
      <w:u w:val="none"/>
      <w:shd w:val="clear" w:color="auto" w:fill="ffffff"/>
      <w:lang w:val="ru-RU"/>
    </w:rPr>
  </w:style>
  <w:style w:type="character" w:styleId="1012" w:customStyle="1">
    <w:name w:val="Основной текст + Sylfaen;8 pt"/>
    <w:basedOn w:val="1005"/>
    <w:rPr>
      <w:rFonts w:ascii="Sylfaen" w:hAnsi="Sylfaen" w:eastAsia="Sylfaen" w:cs="Sylfaen"/>
      <w:b w:val="0"/>
      <w:bCs w:val="0"/>
      <w:i w:val="0"/>
      <w:iCs w:val="0"/>
      <w:smallCaps w:val="0"/>
      <w:strike w:val="0"/>
      <w:color w:val="000000"/>
      <w:spacing w:val="0"/>
      <w:position w:val="0"/>
      <w:sz w:val="16"/>
      <w:szCs w:val="16"/>
      <w:u w:val="none"/>
      <w:shd w:val="clear" w:color="auto" w:fill="ffffff"/>
      <w:lang w:val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customXml" Target="../customXml/item1.xml" /><Relationship Id="rId14" Type="http://schemas.openxmlformats.org/officeDocument/2006/relationships/image" Target="media/image1.png"/><Relationship Id="rId15" Type="http://schemas.openxmlformats.org/officeDocument/2006/relationships/image" Target="media/image2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DC51E-6BFB-4B20-948D-B8188FD58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ДОиН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shsb</dc:creator>
  <cp:lastModifiedBy>SavickayaTV</cp:lastModifiedBy>
  <cp:revision>32</cp:revision>
  <dcterms:created xsi:type="dcterms:W3CDTF">2022-10-29T10:27:00Z</dcterms:created>
  <dcterms:modified xsi:type="dcterms:W3CDTF">2025-12-16T08:37:36Z</dcterms:modified>
</cp:coreProperties>
</file>